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37504" w14:textId="77777777" w:rsidR="00872404" w:rsidRPr="00AA43F4" w:rsidRDefault="00872404" w:rsidP="0034055E">
      <w:pPr>
        <w:autoSpaceDE w:val="0"/>
        <w:autoSpaceDN w:val="0"/>
        <w:adjustRightInd w:val="0"/>
        <w:rPr>
          <w:rFonts w:ascii="Arial" w:hAnsi="Arial" w:cs="Arial"/>
          <w:color w:val="FFFFFF"/>
          <w:lang w:eastAsia="en-GB"/>
        </w:rPr>
      </w:pPr>
      <w:bookmarkStart w:id="0" w:name="_GoBack"/>
      <w:bookmarkEnd w:id="0"/>
      <w:r w:rsidRPr="00AA43F4">
        <w:rPr>
          <w:rFonts w:ascii="Arial" w:hAnsi="Arial" w:cs="Arial"/>
          <w:color w:val="FFFFFF"/>
          <w:lang w:eastAsia="en-GB"/>
        </w:rPr>
        <w:t>*@</w:t>
      </w:r>
      <w:r w:rsidRPr="001E37BD">
        <w:rPr>
          <w:rFonts w:ascii="Arial" w:hAnsi="Arial" w:cs="Arial"/>
          <w:noProof/>
          <w:color w:val="FFFFFF"/>
          <w:lang w:eastAsia="en-GB"/>
        </w:rPr>
        <w:t>2019/91633</w:t>
      </w:r>
    </w:p>
    <w:p w14:paraId="106CD619" w14:textId="77777777" w:rsidR="00872404" w:rsidRDefault="00F37C65" w:rsidP="0034055E">
      <w:pPr>
        <w:autoSpaceDE w:val="0"/>
        <w:autoSpaceDN w:val="0"/>
        <w:adjustRightInd w:val="0"/>
        <w:jc w:val="center"/>
        <w:rPr>
          <w:rFonts w:ascii="Arial" w:hAnsi="Arial" w:cs="Arial"/>
          <w:lang w:eastAsia="en-GB"/>
        </w:rPr>
      </w:pPr>
      <w:r>
        <w:rPr>
          <w:rFonts w:ascii="Arial" w:hAnsi="Arial" w:cs="Arial"/>
          <w:sz w:val="20"/>
          <w:szCs w:val="20"/>
          <w:lang w:eastAsia="en-GB"/>
        </w:rPr>
        <w:pict w14:anchorId="67FB9A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35pt;height:65.75pt">
            <v:imagedata r:id="rId9" o:title=""/>
          </v:shape>
        </w:pict>
      </w:r>
    </w:p>
    <w:p w14:paraId="3A5E4709" w14:textId="77777777" w:rsidR="00872404" w:rsidRPr="007F19B9" w:rsidRDefault="00872404" w:rsidP="0034055E">
      <w:pPr>
        <w:autoSpaceDE w:val="0"/>
        <w:autoSpaceDN w:val="0"/>
        <w:adjustRightInd w:val="0"/>
        <w:jc w:val="center"/>
        <w:rPr>
          <w:rFonts w:ascii="Arial" w:hAnsi="Arial" w:cs="Arial"/>
          <w:sz w:val="18"/>
          <w:szCs w:val="18"/>
          <w:lang w:eastAsia="en-GB"/>
        </w:rPr>
      </w:pPr>
    </w:p>
    <w:p w14:paraId="4DD808D3" w14:textId="77777777" w:rsidR="00872404" w:rsidRDefault="00872404" w:rsidP="0034055E">
      <w:pPr>
        <w:autoSpaceDE w:val="0"/>
        <w:autoSpaceDN w:val="0"/>
        <w:adjustRightInd w:val="0"/>
        <w:jc w:val="center"/>
        <w:rPr>
          <w:rFonts w:ascii="Arial" w:hAnsi="Arial" w:cs="Arial"/>
          <w:b/>
          <w:bCs/>
          <w:lang w:eastAsia="en-GB"/>
        </w:rPr>
      </w:pPr>
      <w:r>
        <w:rPr>
          <w:rFonts w:ascii="Arial" w:hAnsi="Arial" w:cs="Arial"/>
          <w:b/>
          <w:bCs/>
          <w:lang w:eastAsia="en-GB"/>
        </w:rPr>
        <w:t>Town and Country Planning Act 1990</w:t>
      </w:r>
    </w:p>
    <w:p w14:paraId="73D75759" w14:textId="77777777" w:rsidR="00872404" w:rsidRPr="007F19B9" w:rsidRDefault="00872404" w:rsidP="0034055E">
      <w:pPr>
        <w:autoSpaceDE w:val="0"/>
        <w:autoSpaceDN w:val="0"/>
        <w:adjustRightInd w:val="0"/>
        <w:jc w:val="center"/>
        <w:rPr>
          <w:rFonts w:ascii="Arial" w:hAnsi="Arial" w:cs="Arial"/>
          <w:b/>
          <w:bCs/>
          <w:sz w:val="18"/>
          <w:szCs w:val="18"/>
          <w:lang w:eastAsia="en-GB"/>
        </w:rPr>
      </w:pPr>
    </w:p>
    <w:p w14:paraId="273EE33A" w14:textId="77777777" w:rsidR="00872404" w:rsidRPr="0008037E" w:rsidRDefault="00872404" w:rsidP="00414DA9">
      <w:pPr>
        <w:autoSpaceDE w:val="0"/>
        <w:autoSpaceDN w:val="0"/>
        <w:adjustRightInd w:val="0"/>
        <w:jc w:val="center"/>
        <w:rPr>
          <w:rFonts w:ascii="Arial" w:hAnsi="Arial" w:cs="Arial"/>
          <w:b/>
          <w:bCs/>
          <w:color w:val="FF0000"/>
          <w:lang w:eastAsia="en-GB"/>
        </w:rPr>
      </w:pPr>
      <w:r w:rsidRPr="00AB00D7">
        <w:rPr>
          <w:rFonts w:ascii="Arial" w:hAnsi="Arial" w:cs="Arial"/>
          <w:b/>
          <w:bCs/>
          <w:lang w:eastAsia="en-GB"/>
        </w:rPr>
        <w:t>Town and Country Planning</w:t>
      </w:r>
      <w:r w:rsidRPr="0008037E">
        <w:rPr>
          <w:rFonts w:ascii="Arial" w:hAnsi="Arial" w:cs="Arial"/>
          <w:b/>
          <w:bCs/>
          <w:color w:val="FF0000"/>
          <w:lang w:eastAsia="en-GB"/>
        </w:rPr>
        <w:t xml:space="preserve"> </w:t>
      </w:r>
      <w:r w:rsidRPr="001754BB">
        <w:rPr>
          <w:rFonts w:ascii="Arial" w:hAnsi="Arial" w:cs="Arial"/>
          <w:b/>
          <w:bCs/>
          <w:lang w:eastAsia="en-GB"/>
        </w:rPr>
        <w:t xml:space="preserve">(Development Management Procedure) </w:t>
      </w:r>
      <w:r>
        <w:rPr>
          <w:rFonts w:ascii="Arial" w:hAnsi="Arial" w:cs="Arial"/>
          <w:b/>
          <w:bCs/>
          <w:lang w:eastAsia="en-GB"/>
        </w:rPr>
        <w:t xml:space="preserve">(England) </w:t>
      </w:r>
      <w:r w:rsidRPr="001754BB">
        <w:rPr>
          <w:rFonts w:ascii="Arial" w:hAnsi="Arial" w:cs="Arial"/>
          <w:b/>
          <w:bCs/>
          <w:lang w:eastAsia="en-GB"/>
        </w:rPr>
        <w:t>Order 201</w:t>
      </w:r>
      <w:r>
        <w:rPr>
          <w:rFonts w:ascii="Arial" w:hAnsi="Arial" w:cs="Arial"/>
          <w:b/>
          <w:bCs/>
          <w:lang w:eastAsia="en-GB"/>
        </w:rPr>
        <w:t>5</w:t>
      </w:r>
    </w:p>
    <w:p w14:paraId="329FDF25" w14:textId="77777777" w:rsidR="00872404" w:rsidRPr="007F19B9" w:rsidRDefault="00872404" w:rsidP="0034055E">
      <w:pPr>
        <w:autoSpaceDE w:val="0"/>
        <w:autoSpaceDN w:val="0"/>
        <w:adjustRightInd w:val="0"/>
        <w:jc w:val="center"/>
        <w:rPr>
          <w:rFonts w:ascii="Arial" w:hAnsi="Arial" w:cs="Arial"/>
          <w:b/>
          <w:bCs/>
          <w:sz w:val="16"/>
          <w:szCs w:val="16"/>
          <w:lang w:eastAsia="en-GB"/>
        </w:rPr>
      </w:pPr>
    </w:p>
    <w:p w14:paraId="3A405553" w14:textId="77777777" w:rsidR="00872404" w:rsidRDefault="00872404" w:rsidP="0034055E">
      <w:pPr>
        <w:autoSpaceDE w:val="0"/>
        <w:autoSpaceDN w:val="0"/>
        <w:adjustRightInd w:val="0"/>
        <w:jc w:val="center"/>
        <w:rPr>
          <w:rFonts w:ascii="Arial" w:hAnsi="Arial" w:cs="Arial"/>
          <w:b/>
          <w:bCs/>
          <w:lang w:eastAsia="en-GB"/>
        </w:rPr>
      </w:pPr>
      <w:r>
        <w:rPr>
          <w:rFonts w:ascii="Arial" w:hAnsi="Arial" w:cs="Arial"/>
          <w:b/>
          <w:bCs/>
          <w:lang w:eastAsia="en-GB"/>
        </w:rPr>
        <w:t>OUTLINE PLANNING PERMISSION</w:t>
      </w:r>
    </w:p>
    <w:p w14:paraId="5116248C" w14:textId="77777777" w:rsidR="00872404" w:rsidRPr="007F19B9" w:rsidRDefault="00872404" w:rsidP="0034055E">
      <w:pPr>
        <w:autoSpaceDE w:val="0"/>
        <w:autoSpaceDN w:val="0"/>
        <w:adjustRightInd w:val="0"/>
        <w:jc w:val="center"/>
        <w:rPr>
          <w:rFonts w:ascii="Arial" w:hAnsi="Arial" w:cs="Arial"/>
          <w:b/>
          <w:bCs/>
          <w:sz w:val="16"/>
          <w:szCs w:val="16"/>
          <w:lang w:eastAsia="en-GB"/>
        </w:rPr>
      </w:pPr>
    </w:p>
    <w:p w14:paraId="5984EF11" w14:textId="77777777" w:rsidR="00872404" w:rsidRDefault="00872404" w:rsidP="0034055E">
      <w:pPr>
        <w:autoSpaceDE w:val="0"/>
        <w:autoSpaceDN w:val="0"/>
        <w:adjustRightInd w:val="0"/>
        <w:jc w:val="center"/>
        <w:rPr>
          <w:rFonts w:ascii="Arial" w:hAnsi="Arial" w:cs="Arial"/>
          <w:b/>
          <w:bCs/>
          <w:lang w:eastAsia="en-GB"/>
        </w:rPr>
      </w:pPr>
      <w:r>
        <w:rPr>
          <w:rFonts w:ascii="Arial" w:hAnsi="Arial" w:cs="Arial"/>
          <w:b/>
          <w:bCs/>
          <w:lang w:eastAsia="en-GB"/>
        </w:rPr>
        <w:t>NOTE: This approval should be read in conjunction with an Agreement made under Section 106 of the Town and Country Planning Act 1990</w:t>
      </w:r>
    </w:p>
    <w:p w14:paraId="5BD441B5" w14:textId="77777777" w:rsidR="00872404" w:rsidRPr="007F19B9" w:rsidRDefault="00872404" w:rsidP="0034055E">
      <w:pPr>
        <w:pBdr>
          <w:bottom w:val="single" w:sz="6" w:space="1" w:color="auto"/>
        </w:pBdr>
        <w:autoSpaceDE w:val="0"/>
        <w:autoSpaceDN w:val="0"/>
        <w:adjustRightInd w:val="0"/>
        <w:rPr>
          <w:rFonts w:ascii="Arial" w:hAnsi="Arial" w:cs="Arial"/>
          <w:sz w:val="18"/>
          <w:szCs w:val="18"/>
          <w:lang w:eastAsia="en-GB"/>
        </w:rPr>
      </w:pPr>
    </w:p>
    <w:p w14:paraId="78E9911F" w14:textId="77777777" w:rsidR="00872404" w:rsidRPr="007F19B9" w:rsidRDefault="00872404" w:rsidP="0034055E">
      <w:pPr>
        <w:autoSpaceDE w:val="0"/>
        <w:autoSpaceDN w:val="0"/>
        <w:adjustRightInd w:val="0"/>
        <w:jc w:val="center"/>
        <w:rPr>
          <w:rFonts w:ascii="Arial" w:hAnsi="Arial" w:cs="Arial"/>
          <w:sz w:val="18"/>
          <w:szCs w:val="18"/>
          <w:lang w:eastAsia="en-GB"/>
        </w:rPr>
      </w:pPr>
    </w:p>
    <w:p w14:paraId="33714055" w14:textId="77777777" w:rsidR="00872404" w:rsidRDefault="00872404" w:rsidP="0034055E">
      <w:pPr>
        <w:pBdr>
          <w:bottom w:val="single" w:sz="6" w:space="1" w:color="auto"/>
        </w:pBdr>
        <w:autoSpaceDE w:val="0"/>
        <w:autoSpaceDN w:val="0"/>
        <w:adjustRightInd w:val="0"/>
        <w:jc w:val="center"/>
        <w:rPr>
          <w:rFonts w:ascii="Arial" w:hAnsi="Arial" w:cs="Arial"/>
          <w:b/>
          <w:bCs/>
          <w:lang w:eastAsia="en-GB"/>
        </w:rPr>
      </w:pPr>
      <w:r>
        <w:rPr>
          <w:rFonts w:ascii="Arial" w:hAnsi="Arial" w:cs="Arial"/>
          <w:b/>
          <w:bCs/>
          <w:lang w:eastAsia="en-GB"/>
        </w:rPr>
        <w:t xml:space="preserve">Application Number: </w:t>
      </w:r>
      <w:r w:rsidRPr="001E37BD">
        <w:rPr>
          <w:rFonts w:ascii="Arial" w:hAnsi="Arial" w:cs="Arial"/>
          <w:b/>
          <w:bCs/>
          <w:noProof/>
          <w:lang w:eastAsia="en-GB"/>
        </w:rPr>
        <w:t xml:space="preserve">2019/60/91633/W </w:t>
      </w:r>
    </w:p>
    <w:p w14:paraId="1ABDD047" w14:textId="77777777" w:rsidR="00872404" w:rsidRPr="007F19B9" w:rsidRDefault="00872404" w:rsidP="0034055E">
      <w:pPr>
        <w:pBdr>
          <w:bottom w:val="single" w:sz="6" w:space="1" w:color="auto"/>
        </w:pBdr>
        <w:autoSpaceDE w:val="0"/>
        <w:autoSpaceDN w:val="0"/>
        <w:adjustRightInd w:val="0"/>
        <w:jc w:val="center"/>
        <w:rPr>
          <w:rFonts w:ascii="Arial" w:hAnsi="Arial" w:cs="Arial"/>
          <w:b/>
          <w:bCs/>
          <w:sz w:val="18"/>
          <w:szCs w:val="18"/>
          <w:lang w:eastAsia="en-GB"/>
        </w:rPr>
      </w:pPr>
    </w:p>
    <w:p w14:paraId="7EEBEDA2" w14:textId="77777777" w:rsidR="00872404" w:rsidRPr="007F19B9" w:rsidRDefault="00872404" w:rsidP="0034055E">
      <w:pPr>
        <w:autoSpaceDE w:val="0"/>
        <w:autoSpaceDN w:val="0"/>
        <w:adjustRightInd w:val="0"/>
        <w:rPr>
          <w:rFonts w:ascii="Arial" w:hAnsi="Arial" w:cs="Arial"/>
          <w:sz w:val="18"/>
          <w:szCs w:val="18"/>
          <w:lang w:eastAsia="en-GB"/>
        </w:rPr>
      </w:pPr>
    </w:p>
    <w:tbl>
      <w:tblPr>
        <w:tblW w:w="0" w:type="auto"/>
        <w:tblInd w:w="-34" w:type="dxa"/>
        <w:tblLayout w:type="fixed"/>
        <w:tblLook w:val="0000" w:firstRow="0" w:lastRow="0" w:firstColumn="0" w:lastColumn="0" w:noHBand="0" w:noVBand="0"/>
      </w:tblPr>
      <w:tblGrid>
        <w:gridCol w:w="851"/>
        <w:gridCol w:w="8930"/>
      </w:tblGrid>
      <w:tr w:rsidR="00872404" w14:paraId="1F737BCB" w14:textId="77777777">
        <w:tc>
          <w:tcPr>
            <w:tcW w:w="851" w:type="dxa"/>
            <w:tcBorders>
              <w:top w:val="nil"/>
              <w:left w:val="nil"/>
              <w:bottom w:val="nil"/>
              <w:right w:val="nil"/>
            </w:tcBorders>
          </w:tcPr>
          <w:p w14:paraId="3C0868BF" w14:textId="77777777" w:rsidR="00872404" w:rsidRDefault="00872404">
            <w:pPr>
              <w:autoSpaceDE w:val="0"/>
              <w:autoSpaceDN w:val="0"/>
              <w:adjustRightInd w:val="0"/>
              <w:rPr>
                <w:rFonts w:ascii="Arial" w:hAnsi="Arial" w:cs="Arial"/>
                <w:lang w:eastAsia="en-GB"/>
              </w:rPr>
            </w:pPr>
            <w:r>
              <w:rPr>
                <w:rFonts w:ascii="Arial" w:hAnsi="Arial" w:cs="Arial"/>
                <w:b/>
                <w:bCs/>
                <w:lang w:eastAsia="en-GB"/>
              </w:rPr>
              <w:t>To:</w:t>
            </w:r>
          </w:p>
        </w:tc>
        <w:tc>
          <w:tcPr>
            <w:tcW w:w="8930" w:type="dxa"/>
            <w:tcBorders>
              <w:top w:val="nil"/>
              <w:left w:val="nil"/>
              <w:bottom w:val="nil"/>
              <w:right w:val="nil"/>
            </w:tcBorders>
          </w:tcPr>
          <w:p w14:paraId="29A73BD5" w14:textId="77777777" w:rsidR="00872404" w:rsidRPr="001E37BD" w:rsidRDefault="00872404" w:rsidP="00A95E29">
            <w:pPr>
              <w:autoSpaceDE w:val="0"/>
              <w:autoSpaceDN w:val="0"/>
              <w:adjustRightInd w:val="0"/>
              <w:rPr>
                <w:rFonts w:ascii="Arial" w:hAnsi="Arial" w:cs="Arial"/>
                <w:noProof/>
                <w:lang w:eastAsia="en-GB"/>
              </w:rPr>
            </w:pPr>
            <w:r w:rsidRPr="001E37BD">
              <w:rPr>
                <w:rFonts w:ascii="Arial" w:hAnsi="Arial" w:cs="Arial"/>
                <w:noProof/>
                <w:lang w:eastAsia="en-GB"/>
              </w:rPr>
              <w:t>Phillip Allsop,</w:t>
            </w:r>
          </w:p>
          <w:p w14:paraId="0FAF290F" w14:textId="77777777" w:rsidR="00872404" w:rsidRPr="001E37BD" w:rsidRDefault="00872404" w:rsidP="00A95E29">
            <w:pPr>
              <w:autoSpaceDE w:val="0"/>
              <w:autoSpaceDN w:val="0"/>
              <w:adjustRightInd w:val="0"/>
              <w:rPr>
                <w:rFonts w:ascii="Arial" w:hAnsi="Arial" w:cs="Arial"/>
                <w:noProof/>
                <w:lang w:eastAsia="en-GB"/>
              </w:rPr>
            </w:pPr>
            <w:r w:rsidRPr="001E37BD">
              <w:rPr>
                <w:rFonts w:ascii="Arial" w:hAnsi="Arial" w:cs="Arial"/>
                <w:noProof/>
                <w:lang w:eastAsia="en-GB"/>
              </w:rPr>
              <w:t>Britch &amp; Associates Ltd</w:t>
            </w:r>
          </w:p>
          <w:p w14:paraId="4DC6CD49" w14:textId="77777777" w:rsidR="00872404" w:rsidRPr="001E37BD" w:rsidRDefault="00872404" w:rsidP="00A95E29">
            <w:pPr>
              <w:autoSpaceDE w:val="0"/>
              <w:autoSpaceDN w:val="0"/>
              <w:adjustRightInd w:val="0"/>
              <w:rPr>
                <w:rFonts w:ascii="Arial" w:hAnsi="Arial" w:cs="Arial"/>
                <w:noProof/>
                <w:lang w:eastAsia="en-GB"/>
              </w:rPr>
            </w:pPr>
            <w:r w:rsidRPr="001E37BD">
              <w:rPr>
                <w:rFonts w:ascii="Arial" w:hAnsi="Arial" w:cs="Arial"/>
                <w:noProof/>
                <w:lang w:eastAsia="en-GB"/>
              </w:rPr>
              <w:t>11, Half Edge Lane</w:t>
            </w:r>
          </w:p>
          <w:p w14:paraId="5EBE4322" w14:textId="77777777" w:rsidR="00872404" w:rsidRPr="001E37BD" w:rsidRDefault="00872404" w:rsidP="00A95E29">
            <w:pPr>
              <w:autoSpaceDE w:val="0"/>
              <w:autoSpaceDN w:val="0"/>
              <w:adjustRightInd w:val="0"/>
              <w:rPr>
                <w:rFonts w:ascii="Arial" w:hAnsi="Arial" w:cs="Arial"/>
                <w:noProof/>
                <w:lang w:eastAsia="en-GB"/>
              </w:rPr>
            </w:pPr>
            <w:r w:rsidRPr="001E37BD">
              <w:rPr>
                <w:rFonts w:ascii="Arial" w:hAnsi="Arial" w:cs="Arial"/>
                <w:noProof/>
                <w:lang w:eastAsia="en-GB"/>
              </w:rPr>
              <w:t>Eccles</w:t>
            </w:r>
          </w:p>
          <w:p w14:paraId="4422527B" w14:textId="77777777" w:rsidR="00872404" w:rsidRPr="001E37BD" w:rsidRDefault="00872404" w:rsidP="00A95E29">
            <w:pPr>
              <w:autoSpaceDE w:val="0"/>
              <w:autoSpaceDN w:val="0"/>
              <w:adjustRightInd w:val="0"/>
              <w:rPr>
                <w:rFonts w:ascii="Arial" w:hAnsi="Arial" w:cs="Arial"/>
                <w:noProof/>
                <w:lang w:eastAsia="en-GB"/>
              </w:rPr>
            </w:pPr>
            <w:r w:rsidRPr="001E37BD">
              <w:rPr>
                <w:rFonts w:ascii="Arial" w:hAnsi="Arial" w:cs="Arial"/>
                <w:noProof/>
                <w:lang w:eastAsia="en-GB"/>
              </w:rPr>
              <w:t>Salford</w:t>
            </w:r>
          </w:p>
          <w:p w14:paraId="73C31E6F" w14:textId="77777777" w:rsidR="00872404" w:rsidRDefault="00872404">
            <w:pPr>
              <w:autoSpaceDE w:val="0"/>
              <w:autoSpaceDN w:val="0"/>
              <w:adjustRightInd w:val="0"/>
              <w:rPr>
                <w:rFonts w:ascii="Arial" w:hAnsi="Arial" w:cs="Arial"/>
                <w:lang w:eastAsia="en-GB"/>
              </w:rPr>
            </w:pPr>
            <w:r w:rsidRPr="001E37BD">
              <w:rPr>
                <w:rFonts w:ascii="Arial" w:hAnsi="Arial" w:cs="Arial"/>
                <w:noProof/>
                <w:lang w:eastAsia="en-GB"/>
              </w:rPr>
              <w:t>M30 9AY</w:t>
            </w:r>
          </w:p>
        </w:tc>
      </w:tr>
      <w:tr w:rsidR="00872404" w:rsidRPr="007F19B9" w14:paraId="4EF685A8" w14:textId="77777777">
        <w:tc>
          <w:tcPr>
            <w:tcW w:w="851" w:type="dxa"/>
            <w:tcBorders>
              <w:top w:val="nil"/>
              <w:left w:val="nil"/>
              <w:bottom w:val="nil"/>
              <w:right w:val="nil"/>
            </w:tcBorders>
          </w:tcPr>
          <w:p w14:paraId="2C60CAC7" w14:textId="77777777" w:rsidR="00872404" w:rsidRPr="007F19B9" w:rsidRDefault="00872404">
            <w:pPr>
              <w:autoSpaceDE w:val="0"/>
              <w:autoSpaceDN w:val="0"/>
              <w:adjustRightInd w:val="0"/>
              <w:rPr>
                <w:rFonts w:ascii="Arial" w:hAnsi="Arial" w:cs="Arial"/>
                <w:sz w:val="16"/>
                <w:szCs w:val="16"/>
                <w:lang w:eastAsia="en-GB"/>
              </w:rPr>
            </w:pPr>
          </w:p>
        </w:tc>
        <w:tc>
          <w:tcPr>
            <w:tcW w:w="8930" w:type="dxa"/>
            <w:tcBorders>
              <w:top w:val="nil"/>
              <w:left w:val="nil"/>
              <w:bottom w:val="nil"/>
              <w:right w:val="nil"/>
            </w:tcBorders>
          </w:tcPr>
          <w:p w14:paraId="184FF855" w14:textId="77777777" w:rsidR="00872404" w:rsidRPr="007F19B9" w:rsidRDefault="00872404">
            <w:pPr>
              <w:autoSpaceDE w:val="0"/>
              <w:autoSpaceDN w:val="0"/>
              <w:adjustRightInd w:val="0"/>
              <w:rPr>
                <w:rFonts w:ascii="Arial" w:hAnsi="Arial" w:cs="Arial"/>
                <w:sz w:val="16"/>
                <w:szCs w:val="16"/>
                <w:lang w:eastAsia="en-GB"/>
              </w:rPr>
            </w:pPr>
          </w:p>
        </w:tc>
      </w:tr>
      <w:tr w:rsidR="00872404" w14:paraId="2BCAB614" w14:textId="77777777">
        <w:tc>
          <w:tcPr>
            <w:tcW w:w="851" w:type="dxa"/>
            <w:tcBorders>
              <w:top w:val="nil"/>
              <w:left w:val="nil"/>
              <w:bottom w:val="nil"/>
              <w:right w:val="nil"/>
            </w:tcBorders>
          </w:tcPr>
          <w:p w14:paraId="62726162" w14:textId="77777777" w:rsidR="00872404" w:rsidRDefault="00872404">
            <w:pPr>
              <w:autoSpaceDE w:val="0"/>
              <w:autoSpaceDN w:val="0"/>
              <w:adjustRightInd w:val="0"/>
              <w:rPr>
                <w:rFonts w:ascii="Arial" w:hAnsi="Arial" w:cs="Arial"/>
                <w:lang w:eastAsia="en-GB"/>
              </w:rPr>
            </w:pPr>
            <w:r>
              <w:rPr>
                <w:rFonts w:ascii="Arial" w:hAnsi="Arial" w:cs="Arial"/>
                <w:b/>
                <w:bCs/>
                <w:lang w:eastAsia="en-GB"/>
              </w:rPr>
              <w:t>For:</w:t>
            </w:r>
          </w:p>
        </w:tc>
        <w:tc>
          <w:tcPr>
            <w:tcW w:w="8930" w:type="dxa"/>
            <w:tcBorders>
              <w:top w:val="nil"/>
              <w:left w:val="nil"/>
              <w:bottom w:val="nil"/>
              <w:right w:val="nil"/>
            </w:tcBorders>
          </w:tcPr>
          <w:p w14:paraId="590EE742" w14:textId="10F08C84" w:rsidR="00872404" w:rsidRDefault="00872404">
            <w:pPr>
              <w:autoSpaceDE w:val="0"/>
              <w:autoSpaceDN w:val="0"/>
              <w:adjustRightInd w:val="0"/>
              <w:rPr>
                <w:rFonts w:ascii="Arial" w:hAnsi="Arial" w:cs="Arial"/>
                <w:lang w:eastAsia="en-GB"/>
              </w:rPr>
            </w:pPr>
            <w:r w:rsidRPr="001E37BD">
              <w:rPr>
                <w:rFonts w:ascii="Arial" w:hAnsi="Arial" w:cs="Arial"/>
                <w:noProof/>
                <w:lang w:eastAsia="en-GB"/>
              </w:rPr>
              <w:t>Panorama Living Ltd</w:t>
            </w:r>
          </w:p>
        </w:tc>
      </w:tr>
    </w:tbl>
    <w:p w14:paraId="1AB7F4B6" w14:textId="77777777" w:rsidR="00872404" w:rsidRPr="007F19B9" w:rsidRDefault="00872404" w:rsidP="0034055E">
      <w:pPr>
        <w:autoSpaceDE w:val="0"/>
        <w:autoSpaceDN w:val="0"/>
        <w:adjustRightInd w:val="0"/>
        <w:rPr>
          <w:rFonts w:ascii="Arial" w:hAnsi="Arial" w:cs="Arial"/>
          <w:b/>
          <w:bCs/>
          <w:sz w:val="16"/>
          <w:szCs w:val="16"/>
          <w:lang w:eastAsia="en-GB"/>
        </w:rPr>
      </w:pPr>
    </w:p>
    <w:p w14:paraId="1E339C9F" w14:textId="77777777" w:rsidR="00872404" w:rsidRDefault="00872404" w:rsidP="0034055E">
      <w:pPr>
        <w:autoSpaceDE w:val="0"/>
        <w:autoSpaceDN w:val="0"/>
        <w:adjustRightInd w:val="0"/>
        <w:rPr>
          <w:rFonts w:ascii="Arial" w:hAnsi="Arial" w:cs="Arial"/>
          <w:b/>
          <w:bCs/>
          <w:lang w:eastAsia="en-GB"/>
        </w:rPr>
      </w:pPr>
      <w:r>
        <w:rPr>
          <w:rFonts w:ascii="Arial" w:hAnsi="Arial" w:cs="Arial"/>
          <w:b/>
          <w:bCs/>
          <w:lang w:eastAsia="en-GB"/>
        </w:rPr>
        <w:t>In pursuance of its powers under the above-mentioned Act and Order the KIRKLEES COUNCIL (hereinafter called “The Council”) as Local Planning Authority hereby permits:-</w:t>
      </w:r>
    </w:p>
    <w:p w14:paraId="3D0C4393" w14:textId="77777777" w:rsidR="00872404" w:rsidRPr="007F19B9" w:rsidRDefault="00872404" w:rsidP="0034055E">
      <w:pPr>
        <w:autoSpaceDE w:val="0"/>
        <w:autoSpaceDN w:val="0"/>
        <w:adjustRightInd w:val="0"/>
        <w:rPr>
          <w:rFonts w:ascii="Arial" w:hAnsi="Arial" w:cs="Arial"/>
          <w:sz w:val="18"/>
          <w:szCs w:val="18"/>
          <w:lang w:eastAsia="en-GB"/>
        </w:rPr>
      </w:pPr>
    </w:p>
    <w:tbl>
      <w:tblPr>
        <w:tblW w:w="0" w:type="auto"/>
        <w:tblInd w:w="-34" w:type="dxa"/>
        <w:tblLayout w:type="fixed"/>
        <w:tblLook w:val="0000" w:firstRow="0" w:lastRow="0" w:firstColumn="0" w:lastColumn="0" w:noHBand="0" w:noVBand="0"/>
      </w:tblPr>
      <w:tblGrid>
        <w:gridCol w:w="851"/>
        <w:gridCol w:w="8930"/>
      </w:tblGrid>
      <w:tr w:rsidR="00872404" w14:paraId="75B52FFE" w14:textId="77777777">
        <w:tc>
          <w:tcPr>
            <w:tcW w:w="851" w:type="dxa"/>
            <w:tcBorders>
              <w:top w:val="nil"/>
              <w:left w:val="nil"/>
              <w:bottom w:val="nil"/>
              <w:right w:val="nil"/>
            </w:tcBorders>
          </w:tcPr>
          <w:p w14:paraId="1A8920A4" w14:textId="77777777" w:rsidR="00872404" w:rsidRDefault="00872404">
            <w:pPr>
              <w:autoSpaceDE w:val="0"/>
              <w:autoSpaceDN w:val="0"/>
              <w:adjustRightInd w:val="0"/>
              <w:rPr>
                <w:rFonts w:ascii="Arial" w:hAnsi="Arial" w:cs="Arial"/>
                <w:lang w:eastAsia="en-GB"/>
              </w:rPr>
            </w:pPr>
          </w:p>
        </w:tc>
        <w:tc>
          <w:tcPr>
            <w:tcW w:w="8930" w:type="dxa"/>
            <w:tcBorders>
              <w:top w:val="nil"/>
              <w:left w:val="nil"/>
              <w:bottom w:val="nil"/>
              <w:right w:val="nil"/>
            </w:tcBorders>
          </w:tcPr>
          <w:p w14:paraId="19B5FCF0" w14:textId="77777777" w:rsidR="00872404" w:rsidRDefault="00872404">
            <w:pPr>
              <w:autoSpaceDE w:val="0"/>
              <w:autoSpaceDN w:val="0"/>
              <w:adjustRightInd w:val="0"/>
              <w:rPr>
                <w:rFonts w:ascii="Arial" w:hAnsi="Arial" w:cs="Arial"/>
                <w:lang w:eastAsia="en-GB"/>
              </w:rPr>
            </w:pPr>
            <w:r w:rsidRPr="001E37BD">
              <w:rPr>
                <w:rFonts w:ascii="Arial" w:hAnsi="Arial" w:cs="Arial"/>
                <w:noProof/>
                <w:lang w:eastAsia="en-GB"/>
              </w:rPr>
              <w:t>Outline application for extension and alterations to existing mill remains to create 33no. apartments with parking and services at ground floor level, and change of use of former office building  into one dwelling and the existing gate house to cycle parking facilities with ancillary works including the provision of open space</w:t>
            </w:r>
          </w:p>
        </w:tc>
      </w:tr>
      <w:tr w:rsidR="00872404" w:rsidRPr="007F19B9" w14:paraId="16051ABF" w14:textId="77777777">
        <w:tc>
          <w:tcPr>
            <w:tcW w:w="851" w:type="dxa"/>
            <w:tcBorders>
              <w:top w:val="nil"/>
              <w:left w:val="nil"/>
              <w:bottom w:val="nil"/>
              <w:right w:val="nil"/>
            </w:tcBorders>
          </w:tcPr>
          <w:p w14:paraId="42FF14F1" w14:textId="77777777" w:rsidR="00872404" w:rsidRPr="007F19B9" w:rsidRDefault="00872404">
            <w:pPr>
              <w:autoSpaceDE w:val="0"/>
              <w:autoSpaceDN w:val="0"/>
              <w:adjustRightInd w:val="0"/>
              <w:rPr>
                <w:rFonts w:ascii="Arial" w:hAnsi="Arial" w:cs="Arial"/>
                <w:sz w:val="14"/>
                <w:szCs w:val="14"/>
                <w:lang w:eastAsia="en-GB"/>
              </w:rPr>
            </w:pPr>
          </w:p>
        </w:tc>
        <w:tc>
          <w:tcPr>
            <w:tcW w:w="8930" w:type="dxa"/>
            <w:tcBorders>
              <w:top w:val="nil"/>
              <w:left w:val="nil"/>
              <w:bottom w:val="nil"/>
              <w:right w:val="nil"/>
            </w:tcBorders>
          </w:tcPr>
          <w:p w14:paraId="4ED32A28" w14:textId="77777777" w:rsidR="00872404" w:rsidRPr="007F19B9" w:rsidRDefault="00872404">
            <w:pPr>
              <w:autoSpaceDE w:val="0"/>
              <w:autoSpaceDN w:val="0"/>
              <w:adjustRightInd w:val="0"/>
              <w:rPr>
                <w:rFonts w:ascii="Arial" w:hAnsi="Arial" w:cs="Arial"/>
                <w:sz w:val="14"/>
                <w:szCs w:val="14"/>
                <w:lang w:eastAsia="en-GB"/>
              </w:rPr>
            </w:pPr>
          </w:p>
        </w:tc>
      </w:tr>
      <w:tr w:rsidR="00872404" w14:paraId="01AB8879" w14:textId="77777777">
        <w:tc>
          <w:tcPr>
            <w:tcW w:w="851" w:type="dxa"/>
            <w:tcBorders>
              <w:top w:val="nil"/>
              <w:left w:val="nil"/>
              <w:bottom w:val="nil"/>
              <w:right w:val="nil"/>
            </w:tcBorders>
          </w:tcPr>
          <w:p w14:paraId="5CDFDF89" w14:textId="77777777" w:rsidR="00872404" w:rsidRDefault="00872404">
            <w:pPr>
              <w:autoSpaceDE w:val="0"/>
              <w:autoSpaceDN w:val="0"/>
              <w:adjustRightInd w:val="0"/>
              <w:rPr>
                <w:rFonts w:ascii="Arial" w:hAnsi="Arial" w:cs="Arial"/>
                <w:lang w:eastAsia="en-GB"/>
              </w:rPr>
            </w:pPr>
            <w:r>
              <w:rPr>
                <w:rFonts w:ascii="Arial" w:hAnsi="Arial" w:cs="Arial"/>
                <w:b/>
                <w:bCs/>
                <w:lang w:eastAsia="en-GB"/>
              </w:rPr>
              <w:t>At:</w:t>
            </w:r>
          </w:p>
        </w:tc>
        <w:tc>
          <w:tcPr>
            <w:tcW w:w="8930" w:type="dxa"/>
            <w:tcBorders>
              <w:top w:val="nil"/>
              <w:left w:val="nil"/>
              <w:bottom w:val="nil"/>
              <w:right w:val="nil"/>
            </w:tcBorders>
          </w:tcPr>
          <w:p w14:paraId="138F75EC" w14:textId="77777777" w:rsidR="00872404" w:rsidRDefault="00872404">
            <w:pPr>
              <w:autoSpaceDE w:val="0"/>
              <w:autoSpaceDN w:val="0"/>
              <w:adjustRightInd w:val="0"/>
              <w:rPr>
                <w:rFonts w:ascii="Arial" w:hAnsi="Arial" w:cs="Arial"/>
                <w:lang w:eastAsia="en-GB"/>
              </w:rPr>
            </w:pPr>
            <w:r w:rsidRPr="001E37BD">
              <w:rPr>
                <w:rFonts w:ascii="Arial" w:hAnsi="Arial" w:cs="Arial"/>
                <w:noProof/>
                <w:lang w:eastAsia="en-GB"/>
              </w:rPr>
              <w:t>4a, Ruth Street, Newsome, Huddersfield, HD4 6JF</w:t>
            </w:r>
          </w:p>
        </w:tc>
      </w:tr>
    </w:tbl>
    <w:p w14:paraId="2C9F441A" w14:textId="77777777" w:rsidR="00872404" w:rsidRPr="007F19B9" w:rsidRDefault="00872404" w:rsidP="0034055E">
      <w:pPr>
        <w:pBdr>
          <w:bottom w:val="single" w:sz="6" w:space="1" w:color="auto"/>
        </w:pBdr>
        <w:autoSpaceDE w:val="0"/>
        <w:autoSpaceDN w:val="0"/>
        <w:adjustRightInd w:val="0"/>
        <w:rPr>
          <w:rFonts w:ascii="Arial" w:hAnsi="Arial" w:cs="Arial"/>
          <w:sz w:val="16"/>
          <w:szCs w:val="16"/>
          <w:lang w:eastAsia="en-GB"/>
        </w:rPr>
      </w:pPr>
    </w:p>
    <w:p w14:paraId="7504717C" w14:textId="77777777" w:rsidR="00872404" w:rsidRPr="007F19B9" w:rsidRDefault="00872404" w:rsidP="0034055E">
      <w:pPr>
        <w:autoSpaceDE w:val="0"/>
        <w:autoSpaceDN w:val="0"/>
        <w:adjustRightInd w:val="0"/>
        <w:rPr>
          <w:rFonts w:ascii="Arial" w:hAnsi="Arial" w:cs="Arial"/>
          <w:sz w:val="16"/>
          <w:szCs w:val="16"/>
          <w:lang w:eastAsia="en-GB"/>
        </w:rPr>
      </w:pPr>
    </w:p>
    <w:p w14:paraId="4682A34C" w14:textId="77777777" w:rsidR="00872404" w:rsidRDefault="00872404" w:rsidP="0034055E">
      <w:pPr>
        <w:autoSpaceDE w:val="0"/>
        <w:autoSpaceDN w:val="0"/>
        <w:adjustRightInd w:val="0"/>
        <w:rPr>
          <w:rFonts w:ascii="Arial" w:hAnsi="Arial" w:cs="Arial"/>
          <w:b/>
          <w:bCs/>
          <w:lang w:eastAsia="en-GB"/>
        </w:rPr>
      </w:pPr>
      <w:r>
        <w:rPr>
          <w:rFonts w:ascii="Arial" w:hAnsi="Arial" w:cs="Arial"/>
          <w:b/>
          <w:bCs/>
          <w:lang w:eastAsia="en-GB"/>
        </w:rPr>
        <w:t xml:space="preserve">In accordance with the plan(s) and applications submitted to the Council on </w:t>
      </w:r>
      <w:r w:rsidRPr="001E37BD">
        <w:rPr>
          <w:rFonts w:ascii="Arial" w:hAnsi="Arial" w:cs="Arial"/>
          <w:b/>
          <w:bCs/>
          <w:noProof/>
          <w:lang w:eastAsia="en-GB"/>
        </w:rPr>
        <w:t>16-May-2019</w:t>
      </w:r>
      <w:r>
        <w:rPr>
          <w:rFonts w:ascii="Arial" w:hAnsi="Arial" w:cs="Arial"/>
          <w:b/>
          <w:bCs/>
          <w:lang w:eastAsia="en-GB"/>
        </w:rPr>
        <w:t>, subject to the condition(s) specified hereunder:-</w:t>
      </w:r>
    </w:p>
    <w:p w14:paraId="1CBF8130" w14:textId="77777777" w:rsidR="00872404" w:rsidRPr="007F19B9" w:rsidRDefault="00872404" w:rsidP="0034055E">
      <w:pPr>
        <w:autoSpaceDE w:val="0"/>
        <w:autoSpaceDN w:val="0"/>
        <w:adjustRightInd w:val="0"/>
        <w:rPr>
          <w:rFonts w:ascii="Arial" w:hAnsi="Arial" w:cs="Arial"/>
          <w:sz w:val="16"/>
          <w:szCs w:val="16"/>
          <w:lang w:eastAsia="en-GB"/>
        </w:rPr>
      </w:pPr>
    </w:p>
    <w:p w14:paraId="2224E2A7" w14:textId="77777777" w:rsidR="007F19B9" w:rsidRPr="00AA2FF7" w:rsidRDefault="00872404" w:rsidP="007F19B9">
      <w:pPr>
        <w:rPr>
          <w:rFonts w:ascii="Arial" w:hAnsi="Arial" w:cs="Arial"/>
          <w:b/>
        </w:rPr>
      </w:pPr>
      <w:r w:rsidRPr="00AA2FF7">
        <w:rPr>
          <w:rFonts w:ascii="Arial" w:hAnsi="Arial"/>
        </w:rPr>
        <w:fldChar w:fldCharType="begin"/>
      </w:r>
      <w:r w:rsidRPr="00AA2FF7">
        <w:rPr>
          <w:rFonts w:ascii="Arial" w:hAnsi="Arial"/>
        </w:rPr>
        <w:instrText xml:space="preserve"> INCLUDETEXT  </w:instrText>
      </w:r>
      <w:r w:rsidRPr="00AA2FF7">
        <w:rPr>
          <w:rFonts w:ascii="Arial" w:hAnsi="Arial"/>
          <w:noProof/>
        </w:rPr>
        <w:instrText>C:\\Users\\PATRIC~1\\AppData\\Local\\Temp\\APAS\\OFFREP_71847.doc</w:instrText>
      </w:r>
      <w:r w:rsidRPr="00AA2FF7">
        <w:rPr>
          <w:rFonts w:ascii="Arial" w:hAnsi="Arial"/>
        </w:rPr>
        <w:instrText xml:space="preserve">  \* MERGEFORMAT </w:instrText>
      </w:r>
      <w:r w:rsidRPr="00AA2FF7">
        <w:rPr>
          <w:rFonts w:ascii="Arial" w:hAnsi="Arial"/>
        </w:rPr>
        <w:fldChar w:fldCharType="separate"/>
      </w:r>
      <w:r w:rsidR="007F19B9" w:rsidRPr="00AA2FF7">
        <w:rPr>
          <w:rFonts w:ascii="Arial" w:hAnsi="Arial"/>
          <w:bCs/>
          <w:lang w:val="en-US"/>
        </w:rPr>
        <w:t>1. Prior to the commencement</w:t>
      </w:r>
      <w:r w:rsidR="007F19B9" w:rsidRPr="00AA2FF7">
        <w:rPr>
          <w:rFonts w:ascii="Arial" w:hAnsi="Arial" w:cs="Arial"/>
        </w:rPr>
        <w:t xml:space="preserve"> of development, plans and particulars of the Reserved Matters relating to access, appearance, landscaping, layout and scale (hereinafter called the “Reserved Matters”) shall be submitted to and approved in writing by the Local Planning Authority. The development shall be implemented in full accordance with the Reserved Matters so approved.</w:t>
      </w:r>
    </w:p>
    <w:p w14:paraId="7C17E2D4" w14:textId="77777777" w:rsidR="007F19B9" w:rsidRPr="00AA2FF7" w:rsidRDefault="007F19B9" w:rsidP="00B37F59">
      <w:pPr>
        <w:outlineLvl w:val="0"/>
        <w:rPr>
          <w:rFonts w:ascii="Arial" w:hAnsi="Arial" w:cs="Arial"/>
        </w:rPr>
      </w:pPr>
      <w:r w:rsidRPr="00AA2FF7">
        <w:rPr>
          <w:rFonts w:ascii="Arial" w:hAnsi="Arial" w:cs="Arial"/>
          <w:b/>
        </w:rPr>
        <w:t>Reason:</w:t>
      </w:r>
      <w:r w:rsidRPr="00AA2FF7">
        <w:rPr>
          <w:rFonts w:ascii="Arial" w:hAnsi="Arial" w:cs="Arial"/>
        </w:rPr>
        <w:t xml:space="preserve"> No details of the matters referred to having been submitted, they are reserved for the subsequent approval in writing of the Local Planning Authority.</w:t>
      </w:r>
    </w:p>
    <w:p w14:paraId="3B65C7C4" w14:textId="77777777" w:rsidR="007F19B9" w:rsidRPr="00AA2FF7" w:rsidRDefault="007F19B9" w:rsidP="00B37F59">
      <w:pPr>
        <w:outlineLvl w:val="0"/>
        <w:rPr>
          <w:rFonts w:ascii="Arial" w:hAnsi="Arial" w:cs="Arial"/>
        </w:rPr>
      </w:pPr>
      <w:r w:rsidRPr="00AA2FF7">
        <w:rPr>
          <w:rFonts w:ascii="Arial" w:hAnsi="Arial" w:cs="Arial"/>
        </w:rPr>
        <w:t>This pre-commencement condition is necessary to ensure that Reserved Matters are approved at an appropriate stage of the development process.</w:t>
      </w:r>
    </w:p>
    <w:p w14:paraId="4AAD81A5" w14:textId="77777777" w:rsidR="007F19B9" w:rsidRPr="00AA2FF7" w:rsidRDefault="007F19B9" w:rsidP="00B37F59">
      <w:pPr>
        <w:outlineLvl w:val="0"/>
        <w:rPr>
          <w:rFonts w:ascii="Arial" w:hAnsi="Arial" w:cs="Arial"/>
        </w:rPr>
      </w:pPr>
    </w:p>
    <w:p w14:paraId="7D536FCE" w14:textId="77777777" w:rsidR="007F19B9" w:rsidRPr="00AA2FF7" w:rsidRDefault="007F19B9" w:rsidP="00B37F59">
      <w:pPr>
        <w:outlineLvl w:val="0"/>
        <w:rPr>
          <w:rFonts w:ascii="Arial" w:hAnsi="Arial" w:cs="Arial"/>
        </w:rPr>
      </w:pPr>
      <w:r w:rsidRPr="00AA2FF7">
        <w:rPr>
          <w:rFonts w:ascii="Arial" w:hAnsi="Arial" w:cs="Arial"/>
        </w:rPr>
        <w:t>2. Application(s) for approval of Reserved Matters shall be made to the Local Planning Authority before the expiration of three years from the date of this permission.</w:t>
      </w:r>
    </w:p>
    <w:p w14:paraId="04F51C03" w14:textId="77777777" w:rsidR="007F19B9" w:rsidRPr="00AA2FF7" w:rsidRDefault="007F19B9" w:rsidP="00B37F59">
      <w:pPr>
        <w:outlineLvl w:val="0"/>
        <w:rPr>
          <w:rFonts w:ascii="Arial" w:hAnsi="Arial" w:cs="Arial"/>
        </w:rPr>
      </w:pPr>
      <w:r w:rsidRPr="00AA2FF7">
        <w:rPr>
          <w:rFonts w:ascii="Arial" w:hAnsi="Arial" w:cs="Arial"/>
          <w:b/>
        </w:rPr>
        <w:t>Reason:</w:t>
      </w:r>
      <w:r w:rsidRPr="00AA2FF7">
        <w:rPr>
          <w:rFonts w:ascii="Arial" w:hAnsi="Arial" w:cs="Arial"/>
        </w:rPr>
        <w:t xml:space="preserve"> Pursuant to section 92 of the Town and Country Planning Act 1990, as amended by the Planning and Compulsory Purchase Act 2004.</w:t>
      </w:r>
    </w:p>
    <w:p w14:paraId="4A406167" w14:textId="77777777" w:rsidR="007F19B9" w:rsidRPr="00AA2FF7" w:rsidRDefault="007F19B9" w:rsidP="00B37F59">
      <w:pPr>
        <w:outlineLvl w:val="0"/>
        <w:rPr>
          <w:rFonts w:ascii="Arial" w:hAnsi="Arial" w:cs="Arial"/>
        </w:rPr>
      </w:pPr>
    </w:p>
    <w:p w14:paraId="22E57CBE" w14:textId="77777777" w:rsidR="007F19B9" w:rsidRPr="00AA2FF7" w:rsidRDefault="007F19B9" w:rsidP="00B37F59">
      <w:pPr>
        <w:outlineLvl w:val="0"/>
        <w:rPr>
          <w:rFonts w:ascii="Arial" w:hAnsi="Arial" w:cs="Arial"/>
        </w:rPr>
      </w:pPr>
      <w:r w:rsidRPr="00AA2FF7">
        <w:rPr>
          <w:rFonts w:ascii="Arial" w:hAnsi="Arial" w:cs="Arial"/>
        </w:rPr>
        <w:t>3. The development hereby permitted shall be begun either before the expiration of two years from the final approval of Reserved Matters or, in the case of approval on different dates, the final approval of the last such matter to be approved.</w:t>
      </w:r>
    </w:p>
    <w:p w14:paraId="58EF5412" w14:textId="77777777" w:rsidR="007F19B9" w:rsidRPr="00AA2FF7" w:rsidRDefault="007F19B9" w:rsidP="00B37F59">
      <w:pPr>
        <w:outlineLvl w:val="0"/>
        <w:rPr>
          <w:rFonts w:ascii="Arial" w:hAnsi="Arial" w:cs="Arial"/>
        </w:rPr>
      </w:pPr>
      <w:r w:rsidRPr="00AA2FF7">
        <w:rPr>
          <w:rFonts w:ascii="Arial" w:hAnsi="Arial" w:cs="Arial"/>
          <w:b/>
        </w:rPr>
        <w:t>Reason:</w:t>
      </w:r>
      <w:r w:rsidRPr="00AA2FF7">
        <w:rPr>
          <w:rFonts w:ascii="Arial" w:hAnsi="Arial" w:cs="Arial"/>
        </w:rPr>
        <w:t xml:space="preserve"> Pursuant to section 92 of the Town and Country Planning Act 1990, as amended by the Planning and Compulsory Purchase Act 2004.</w:t>
      </w:r>
    </w:p>
    <w:p w14:paraId="70792894" w14:textId="77777777" w:rsidR="007F19B9" w:rsidRPr="00AA2FF7" w:rsidRDefault="007F19B9" w:rsidP="00B37F59">
      <w:pPr>
        <w:outlineLvl w:val="0"/>
        <w:rPr>
          <w:rFonts w:ascii="Arial" w:hAnsi="Arial" w:cs="Arial"/>
        </w:rPr>
      </w:pPr>
    </w:p>
    <w:p w14:paraId="7316A123" w14:textId="77777777" w:rsidR="007F19B9" w:rsidRPr="00AA2FF7" w:rsidRDefault="007F19B9" w:rsidP="00B37F59">
      <w:pPr>
        <w:outlineLvl w:val="0"/>
        <w:rPr>
          <w:rFonts w:ascii="Arial" w:hAnsi="Arial" w:cs="Arial"/>
        </w:rPr>
      </w:pPr>
      <w:r w:rsidRPr="00AA2FF7">
        <w:rPr>
          <w:rFonts w:ascii="Arial" w:hAnsi="Arial" w:cs="Arial"/>
        </w:rPr>
        <w:t>4. The development hereby permitted shall be carried out in complete accordance with the plans and specifications schedule listed in this decision notice, except as may be specified in the conditions attached to this permission, which shall in all cases take precedence.</w:t>
      </w:r>
    </w:p>
    <w:p w14:paraId="1330AD80" w14:textId="77777777" w:rsidR="00731188" w:rsidRPr="00AA2FF7" w:rsidRDefault="00731188" w:rsidP="00731188">
      <w:pPr>
        <w:pStyle w:val="NoSpacing"/>
      </w:pPr>
      <w:r w:rsidRPr="00AA2FF7">
        <w:rPr>
          <w:b/>
        </w:rPr>
        <w:t>Reason</w:t>
      </w:r>
      <w:r w:rsidRPr="00AA2FF7">
        <w:t>: For the avoidance of doubt as to what is being permitted and so as to ensure the satisfactory appearance of the development on completion, and to accord with Policy LP24 of the Kirklees Local Plan and Chapter 12 of the National Planning Policy Framework.</w:t>
      </w:r>
    </w:p>
    <w:p w14:paraId="529566EF" w14:textId="77777777" w:rsidR="007F19B9" w:rsidRPr="00AA2FF7" w:rsidRDefault="007F19B9" w:rsidP="00B37F59">
      <w:pPr>
        <w:rPr>
          <w:rFonts w:ascii="Arial" w:hAnsi="Arial" w:cs="Arial"/>
          <w:b/>
        </w:rPr>
      </w:pPr>
    </w:p>
    <w:p w14:paraId="489ABAD6" w14:textId="77777777" w:rsidR="007F19B9" w:rsidRPr="00F37C65" w:rsidRDefault="007F19B9" w:rsidP="00B37F59">
      <w:pPr>
        <w:autoSpaceDE w:val="0"/>
        <w:autoSpaceDN w:val="0"/>
        <w:adjustRightInd w:val="0"/>
        <w:rPr>
          <w:rFonts w:ascii="ArialMT" w:eastAsia="Calibri" w:hAnsi="ArialMT" w:cs="ArialMT"/>
        </w:rPr>
      </w:pPr>
      <w:r w:rsidRPr="00AA2FF7">
        <w:rPr>
          <w:rFonts w:ascii="Arial" w:hAnsi="Arial" w:cs="Arial"/>
        </w:rPr>
        <w:t xml:space="preserve">5. No development shall take place until details of the junction and associated works, between the proposed estate road and Hart Street have been submitted to and approved in writing by the Local Planning Authority. No buildings shall be occupied until the works to provide the junction have been provided in accordance with the approved details. </w:t>
      </w:r>
    </w:p>
    <w:p w14:paraId="72FE7FAD" w14:textId="77777777" w:rsidR="007F19B9" w:rsidRPr="00AA2FF7" w:rsidRDefault="007F19B9" w:rsidP="00B37F59">
      <w:pPr>
        <w:outlineLvl w:val="0"/>
        <w:rPr>
          <w:rFonts w:ascii="Arial" w:hAnsi="Arial" w:cs="Arial"/>
          <w:b/>
        </w:rPr>
      </w:pPr>
      <w:r w:rsidRPr="00AA2FF7">
        <w:rPr>
          <w:rFonts w:ascii="Arial" w:hAnsi="Arial" w:cs="Arial"/>
          <w:b/>
        </w:rPr>
        <w:t xml:space="preserve">Reason: </w:t>
      </w:r>
      <w:r w:rsidRPr="00AA2FF7">
        <w:rPr>
          <w:rFonts w:ascii="Arial" w:hAnsi="Arial" w:cs="Arial"/>
        </w:rPr>
        <w:t>In the interests of highway safety and to accord with Policy LP21 of the Kirklees Local Plan</w:t>
      </w:r>
      <w:r w:rsidRPr="00AA2FF7">
        <w:rPr>
          <w:rFonts w:ascii="Arial" w:hAnsi="Arial" w:cs="Arial"/>
          <w:b/>
        </w:rPr>
        <w:t>.</w:t>
      </w:r>
    </w:p>
    <w:p w14:paraId="28750B2E" w14:textId="77777777" w:rsidR="007F19B9" w:rsidRPr="00AA2FF7" w:rsidRDefault="007F19B9" w:rsidP="00B37F59">
      <w:pPr>
        <w:outlineLvl w:val="0"/>
        <w:rPr>
          <w:rFonts w:ascii="Arial" w:hAnsi="Arial" w:cs="Arial"/>
        </w:rPr>
      </w:pPr>
    </w:p>
    <w:p w14:paraId="2D3ABCF4" w14:textId="77777777" w:rsidR="007F19B9" w:rsidRPr="00AA2FF7" w:rsidRDefault="007F19B9" w:rsidP="00B37F59">
      <w:pPr>
        <w:rPr>
          <w:rFonts w:ascii="Arial" w:hAnsi="Arial" w:cs="Arial"/>
        </w:rPr>
      </w:pPr>
      <w:r w:rsidRPr="00AA2FF7">
        <w:rPr>
          <w:rFonts w:ascii="Arial" w:hAnsi="Arial" w:cs="Arial"/>
        </w:rPr>
        <w:t>6. No development shall take place until a scheme detailing the proposed internal adoptable estate roads have been submitted to and approved in writing by the Local Planning Authority. The scheme shall include full sections, drainage works, street lighting, signing, surface finishes and the treatment of sight lines, together with an independent safety audit covering all aspects of work. Before any building is brought into use the scheme shall be completed in accordance with the scheme shown on approved plans and retained thereafter.</w:t>
      </w:r>
    </w:p>
    <w:p w14:paraId="416F9CEE" w14:textId="77777777" w:rsidR="007F19B9" w:rsidRPr="00AA2FF7" w:rsidRDefault="007F19B9" w:rsidP="00B37F59">
      <w:pPr>
        <w:rPr>
          <w:rFonts w:ascii="Arial" w:hAnsi="Arial" w:cs="Arial"/>
        </w:rPr>
      </w:pPr>
      <w:r w:rsidRPr="00AA2FF7">
        <w:rPr>
          <w:rFonts w:ascii="Arial" w:hAnsi="Arial" w:cs="Arial"/>
          <w:b/>
        </w:rPr>
        <w:t xml:space="preserve">Reason: </w:t>
      </w:r>
      <w:r w:rsidRPr="00AA2FF7">
        <w:rPr>
          <w:rFonts w:ascii="Arial" w:hAnsi="Arial" w:cs="Arial"/>
        </w:rPr>
        <w:t>In the interests of highway safety and to accord with Policy LP21 of the Kirklees Local Plan.</w:t>
      </w:r>
    </w:p>
    <w:p w14:paraId="71E42A74" w14:textId="5A4A75D7" w:rsidR="007F19B9" w:rsidRPr="00AA2FF7" w:rsidRDefault="009D31B8" w:rsidP="00B37F59">
      <w:pPr>
        <w:outlineLvl w:val="0"/>
        <w:rPr>
          <w:rFonts w:ascii="Arial" w:hAnsi="Arial" w:cs="Arial"/>
          <w:b/>
        </w:rPr>
      </w:pPr>
      <w:r>
        <w:rPr>
          <w:rFonts w:ascii="Arial" w:hAnsi="Arial" w:cs="Arial"/>
          <w:b/>
        </w:rPr>
        <w:br w:type="page"/>
      </w:r>
    </w:p>
    <w:p w14:paraId="593D95BB" w14:textId="77777777" w:rsidR="007F19B9" w:rsidRPr="00AA2FF7" w:rsidRDefault="007F19B9" w:rsidP="00B37F59">
      <w:pPr>
        <w:rPr>
          <w:rFonts w:ascii="Arial" w:hAnsi="Arial" w:cs="Arial"/>
        </w:rPr>
      </w:pPr>
      <w:r w:rsidRPr="00AA2FF7">
        <w:rPr>
          <w:rFonts w:ascii="Arial" w:hAnsi="Arial" w:cs="Arial"/>
        </w:rPr>
        <w:t>7. Before development commences details of storage and access for collection of wastes from the premises shall be submitted to and approved in writing by the Local Planning Authority. The approved details shall be provided before first occupation and shall be so retained thereafter.</w:t>
      </w:r>
    </w:p>
    <w:p w14:paraId="3F94E54A" w14:textId="16805485" w:rsidR="007F19B9" w:rsidRDefault="007F19B9" w:rsidP="00B37F59">
      <w:pPr>
        <w:outlineLvl w:val="0"/>
        <w:rPr>
          <w:rFonts w:ascii="Arial" w:hAnsi="Arial" w:cs="Arial"/>
        </w:rPr>
      </w:pPr>
      <w:r w:rsidRPr="00AA2FF7">
        <w:rPr>
          <w:rFonts w:ascii="Arial" w:hAnsi="Arial" w:cs="Arial"/>
          <w:b/>
        </w:rPr>
        <w:t xml:space="preserve">Reason: </w:t>
      </w:r>
      <w:r w:rsidRPr="00AA2FF7">
        <w:rPr>
          <w:rFonts w:ascii="Arial" w:hAnsi="Arial" w:cs="Arial"/>
        </w:rPr>
        <w:t>In the interests of highway safety and to accord with Policy LP21 of the Kirklees Local Plan.</w:t>
      </w:r>
    </w:p>
    <w:p w14:paraId="543729D6" w14:textId="77777777" w:rsidR="00AA2FF7" w:rsidRPr="00AA2FF7" w:rsidRDefault="00AA2FF7" w:rsidP="00B37F59">
      <w:pPr>
        <w:outlineLvl w:val="0"/>
        <w:rPr>
          <w:rFonts w:ascii="Arial" w:hAnsi="Arial" w:cs="Arial"/>
          <w:b/>
        </w:rPr>
      </w:pPr>
    </w:p>
    <w:p w14:paraId="4E2D19C7" w14:textId="355E61D1" w:rsidR="007F19B9" w:rsidRPr="00AA2FF7" w:rsidRDefault="007F19B9" w:rsidP="00B37F59">
      <w:pPr>
        <w:outlineLvl w:val="0"/>
        <w:rPr>
          <w:rFonts w:ascii="Arial" w:hAnsi="Arial" w:cs="Arial"/>
        </w:rPr>
      </w:pPr>
      <w:r w:rsidRPr="00AA2FF7">
        <w:rPr>
          <w:rFonts w:ascii="Arial" w:hAnsi="Arial" w:cs="Arial"/>
        </w:rPr>
        <w:t xml:space="preserve">8. Within the first 3 months of any part of the development being brought into use a travel plan shall be submitted to and approved in writing by the </w:t>
      </w:r>
      <w:r w:rsidR="00AA2FF7" w:rsidRPr="00AA2FF7">
        <w:rPr>
          <w:rFonts w:ascii="Arial" w:hAnsi="Arial" w:cs="Arial"/>
        </w:rPr>
        <w:t>Local Planning Authority</w:t>
      </w:r>
      <w:r w:rsidRPr="00AA2FF7">
        <w:rPr>
          <w:rFonts w:ascii="Arial" w:hAnsi="Arial" w:cs="Arial"/>
        </w:rPr>
        <w:t>. The travel plan shall include measures to improve and encourage the use of sustainable transport. The measures will include as a minimum:</w:t>
      </w:r>
    </w:p>
    <w:p w14:paraId="3342D597" w14:textId="77777777" w:rsidR="007F19B9" w:rsidRPr="00AA2FF7" w:rsidRDefault="007F19B9" w:rsidP="00B37F59">
      <w:pPr>
        <w:rPr>
          <w:rFonts w:ascii="Arial" w:hAnsi="Arial" w:cs="Arial"/>
        </w:rPr>
      </w:pPr>
      <w:r w:rsidRPr="00AA2FF7">
        <w:rPr>
          <w:rFonts w:ascii="Arial" w:hAnsi="Arial" w:cs="Arial"/>
        </w:rPr>
        <w:t xml:space="preserve">                </w:t>
      </w:r>
    </w:p>
    <w:p w14:paraId="2608C3B8" w14:textId="77777777" w:rsidR="007F19B9" w:rsidRPr="00AA2FF7" w:rsidRDefault="007F19B9" w:rsidP="00B37F59">
      <w:pPr>
        <w:rPr>
          <w:rFonts w:ascii="Arial" w:hAnsi="Arial" w:cs="Arial"/>
        </w:rPr>
      </w:pPr>
      <w:r w:rsidRPr="00AA2FF7">
        <w:rPr>
          <w:rFonts w:ascii="Arial" w:hAnsi="Arial" w:cs="Arial"/>
        </w:rPr>
        <w:t>- The provision of 'live' and other bus/train information;</w:t>
      </w:r>
    </w:p>
    <w:p w14:paraId="394936B9" w14:textId="77777777" w:rsidR="007F19B9" w:rsidRPr="00AA2FF7" w:rsidRDefault="007F19B9" w:rsidP="00B37F59">
      <w:pPr>
        <w:rPr>
          <w:rFonts w:ascii="Arial" w:hAnsi="Arial" w:cs="Arial"/>
        </w:rPr>
      </w:pPr>
      <w:r w:rsidRPr="00AA2FF7">
        <w:rPr>
          <w:rFonts w:ascii="Arial" w:hAnsi="Arial" w:cs="Arial"/>
        </w:rPr>
        <w:t>- Provision of METRO passes;</w:t>
      </w:r>
    </w:p>
    <w:p w14:paraId="48C5189F" w14:textId="77777777" w:rsidR="007F19B9" w:rsidRPr="00AA2FF7" w:rsidRDefault="007F19B9" w:rsidP="00B37F59">
      <w:pPr>
        <w:rPr>
          <w:rFonts w:ascii="Arial" w:hAnsi="Arial" w:cs="Arial"/>
        </w:rPr>
      </w:pPr>
      <w:r w:rsidRPr="00AA2FF7">
        <w:rPr>
          <w:rFonts w:ascii="Arial" w:hAnsi="Arial" w:cs="Arial"/>
        </w:rPr>
        <w:t>- Car sharing facilities</w:t>
      </w:r>
    </w:p>
    <w:p w14:paraId="4C4E5531" w14:textId="77777777" w:rsidR="007F19B9" w:rsidRPr="00AA2FF7" w:rsidRDefault="007F19B9" w:rsidP="00B37F59">
      <w:pPr>
        <w:rPr>
          <w:rFonts w:ascii="Arial" w:hAnsi="Arial" w:cs="Arial"/>
        </w:rPr>
      </w:pPr>
      <w:r w:rsidRPr="00AA2FF7">
        <w:rPr>
          <w:rFonts w:ascii="Arial" w:hAnsi="Arial" w:cs="Arial"/>
        </w:rPr>
        <w:t xml:space="preserve">- The upgrade of bus stops and shelters where necessary; </w:t>
      </w:r>
    </w:p>
    <w:p w14:paraId="742712F0" w14:textId="77777777" w:rsidR="007F19B9" w:rsidRPr="00AA2FF7" w:rsidRDefault="007F19B9" w:rsidP="00B37F59">
      <w:pPr>
        <w:rPr>
          <w:rFonts w:ascii="Arial" w:hAnsi="Arial" w:cs="Arial"/>
        </w:rPr>
      </w:pPr>
      <w:r w:rsidRPr="00AA2FF7">
        <w:rPr>
          <w:rFonts w:ascii="Arial" w:hAnsi="Arial" w:cs="Arial"/>
        </w:rPr>
        <w:t>- The introduction of working practices to reduce travel demand and</w:t>
      </w:r>
    </w:p>
    <w:p w14:paraId="1A0E6EBC" w14:textId="77777777" w:rsidR="007F19B9" w:rsidRPr="00AA2FF7" w:rsidRDefault="007F19B9" w:rsidP="00B37F59">
      <w:pPr>
        <w:rPr>
          <w:rFonts w:ascii="Arial" w:hAnsi="Arial" w:cs="Arial"/>
        </w:rPr>
      </w:pPr>
      <w:r w:rsidRPr="00AA2FF7">
        <w:rPr>
          <w:rFonts w:ascii="Arial" w:hAnsi="Arial" w:cs="Arial"/>
        </w:rPr>
        <w:t>- The provision of on-site cycle facilities and information.</w:t>
      </w:r>
    </w:p>
    <w:p w14:paraId="36BAEB5A" w14:textId="77777777" w:rsidR="007F19B9" w:rsidRPr="00AA2FF7" w:rsidRDefault="007F19B9" w:rsidP="00B37F59">
      <w:pPr>
        <w:rPr>
          <w:rFonts w:ascii="Arial" w:hAnsi="Arial" w:cs="Arial"/>
        </w:rPr>
      </w:pPr>
    </w:p>
    <w:p w14:paraId="3BE3B95B" w14:textId="77777777" w:rsidR="007F19B9" w:rsidRPr="00AA2FF7" w:rsidRDefault="007F19B9" w:rsidP="00B37F59">
      <w:pPr>
        <w:rPr>
          <w:rFonts w:ascii="Arial" w:hAnsi="Arial" w:cs="Arial"/>
        </w:rPr>
      </w:pPr>
      <w:r w:rsidRPr="00AA2FF7">
        <w:rPr>
          <w:rFonts w:ascii="Arial" w:hAnsi="Arial" w:cs="Arial"/>
        </w:rPr>
        <w:t>The Travel Plan will include details of when these measures will be introduced.</w:t>
      </w:r>
    </w:p>
    <w:p w14:paraId="2A4AB3D9" w14:textId="77777777" w:rsidR="007F19B9" w:rsidRPr="00AA2FF7" w:rsidRDefault="007F19B9" w:rsidP="00B37F59">
      <w:pPr>
        <w:rPr>
          <w:rFonts w:ascii="Arial" w:hAnsi="Arial" w:cs="Arial"/>
        </w:rPr>
      </w:pPr>
    </w:p>
    <w:p w14:paraId="0EE252DE" w14:textId="77777777" w:rsidR="007F19B9" w:rsidRPr="00AA2FF7" w:rsidRDefault="007F19B9" w:rsidP="00B37F59">
      <w:pPr>
        <w:rPr>
          <w:rFonts w:ascii="Arial" w:hAnsi="Arial" w:cs="Arial"/>
        </w:rPr>
      </w:pPr>
      <w:r w:rsidRPr="00AA2FF7">
        <w:rPr>
          <w:rFonts w:ascii="Arial" w:hAnsi="Arial" w:cs="Arial"/>
        </w:rPr>
        <w:t xml:space="preserve">To support the promotion of the use of sustainable modes the travel plan will also include: how the travel plan will be managed; targets aimed at lowering car use, particularly single occupancy trips, from/to the site; a program for monitoring the travel plan and its progress and how the travel plan and its objective of more sustainable travel will be promoted. The approved travel plan shall thereafter </w:t>
      </w:r>
      <w:proofErr w:type="gramStart"/>
      <w:r w:rsidRPr="00AA2FF7">
        <w:rPr>
          <w:rFonts w:ascii="Arial" w:hAnsi="Arial" w:cs="Arial"/>
        </w:rPr>
        <w:t>retained</w:t>
      </w:r>
      <w:proofErr w:type="gramEnd"/>
      <w:r w:rsidRPr="00AA2FF7">
        <w:rPr>
          <w:rFonts w:ascii="Arial" w:hAnsi="Arial" w:cs="Arial"/>
        </w:rPr>
        <w:t xml:space="preserve"> throughout the lifetime of the development unless otherwise agreed in writing by the Local Planning Authority.</w:t>
      </w:r>
    </w:p>
    <w:p w14:paraId="1B91C99F" w14:textId="77777777" w:rsidR="007F19B9" w:rsidRPr="00AA2FF7" w:rsidRDefault="007F19B9" w:rsidP="00B37F59">
      <w:pPr>
        <w:rPr>
          <w:rFonts w:ascii="Arial" w:hAnsi="Arial" w:cs="Arial"/>
        </w:rPr>
      </w:pPr>
      <w:r w:rsidRPr="00AA2FF7">
        <w:rPr>
          <w:rFonts w:ascii="Arial" w:hAnsi="Arial" w:cs="Arial"/>
          <w:b/>
        </w:rPr>
        <w:t xml:space="preserve">Reason: </w:t>
      </w:r>
      <w:r w:rsidRPr="00AA2FF7">
        <w:rPr>
          <w:rFonts w:ascii="Arial" w:hAnsi="Arial" w:cs="Arial"/>
        </w:rPr>
        <w:t xml:space="preserve">To accord with the guidance contained in part 9 of the National Planning Policy Framework, and Policy LP20 of the Kirklees Local Plan. </w:t>
      </w:r>
    </w:p>
    <w:p w14:paraId="42F08A5D" w14:textId="77777777" w:rsidR="007F19B9" w:rsidRPr="00AA2FF7" w:rsidRDefault="007F19B9" w:rsidP="00B37F59">
      <w:pPr>
        <w:outlineLvl w:val="0"/>
        <w:rPr>
          <w:rFonts w:ascii="Arial" w:hAnsi="Arial" w:cs="Arial"/>
        </w:rPr>
      </w:pPr>
    </w:p>
    <w:p w14:paraId="20F8F511" w14:textId="77777777" w:rsidR="007F19B9" w:rsidRPr="00AA2FF7" w:rsidRDefault="007F19B9" w:rsidP="00B37F59">
      <w:pPr>
        <w:rPr>
          <w:rFonts w:ascii="Arial" w:hAnsi="Arial" w:cs="Arial"/>
          <w:b/>
        </w:rPr>
      </w:pPr>
      <w:r w:rsidRPr="00AA2FF7">
        <w:rPr>
          <w:rFonts w:ascii="Arial" w:hAnsi="Arial" w:cs="Arial"/>
          <w:lang w:eastAsia="en-GB"/>
        </w:rPr>
        <w:t xml:space="preserve">9. Prior to any development commencing, a scheme for the protection of public users of footpath HUD/184/10 and HUD/185/10 shall be submitted to and approved in writing by the Local Planning Authority before development commences. The submitted scheme shall address how public safety is to be ensured during works (including any demolition, construction, conversion, and excavation). The applicant may consider including details of measures such as signing, guarding, surface protection, use of banksmen around operations including plant use, </w:t>
      </w:r>
      <w:proofErr w:type="gramStart"/>
      <w:r w:rsidRPr="00AA2FF7">
        <w:rPr>
          <w:rFonts w:ascii="Arial" w:hAnsi="Arial" w:cs="Arial"/>
          <w:lang w:eastAsia="en-GB"/>
        </w:rPr>
        <w:t>laying</w:t>
      </w:r>
      <w:proofErr w:type="gramEnd"/>
      <w:r w:rsidRPr="00AA2FF7">
        <w:rPr>
          <w:rFonts w:ascii="Arial" w:hAnsi="Arial" w:cs="Arial"/>
          <w:lang w:eastAsia="en-GB"/>
        </w:rPr>
        <w:t xml:space="preserve"> of services, in addition to the delivery, loading, unloading, storage and movement of materials on site. The approved scheme shall thereafter be implemented and retained throughout the period of the works. </w:t>
      </w:r>
    </w:p>
    <w:p w14:paraId="3242CBB9" w14:textId="22B35584" w:rsidR="007F19B9" w:rsidRPr="00AA2FF7" w:rsidRDefault="007F19B9" w:rsidP="00B37F59">
      <w:pPr>
        <w:rPr>
          <w:rFonts w:ascii="Arial" w:hAnsi="Arial" w:cs="Arial"/>
          <w:lang w:eastAsia="en-GB"/>
        </w:rPr>
      </w:pPr>
      <w:r w:rsidRPr="00AA2FF7">
        <w:rPr>
          <w:rFonts w:ascii="Arial" w:hAnsi="Arial" w:cs="Arial"/>
          <w:b/>
          <w:lang w:eastAsia="en-GB"/>
        </w:rPr>
        <w:t xml:space="preserve">Reason: </w:t>
      </w:r>
      <w:r w:rsidRPr="00AA2FF7">
        <w:rPr>
          <w:rFonts w:ascii="Arial" w:hAnsi="Arial" w:cs="Arial"/>
          <w:lang w:eastAsia="en-GB"/>
        </w:rPr>
        <w:t>In the</w:t>
      </w:r>
      <w:r w:rsidRPr="00AA2FF7">
        <w:rPr>
          <w:rFonts w:ascii="Arial" w:hAnsi="Arial" w:cs="Arial"/>
          <w:b/>
          <w:lang w:eastAsia="en-GB"/>
        </w:rPr>
        <w:t xml:space="preserve"> </w:t>
      </w:r>
      <w:r w:rsidRPr="00AA2FF7">
        <w:rPr>
          <w:rFonts w:ascii="Arial" w:hAnsi="Arial" w:cs="Arial"/>
          <w:lang w:eastAsia="en-GB"/>
        </w:rPr>
        <w:t>interest of pedestrian safety and to accord with Policy LP23 of the Kirklees Local Plan.</w:t>
      </w:r>
    </w:p>
    <w:p w14:paraId="54E46E90" w14:textId="759793C4" w:rsidR="00731188" w:rsidRPr="00AA2FF7" w:rsidRDefault="009D31B8" w:rsidP="00B37F59">
      <w:pPr>
        <w:rPr>
          <w:rFonts w:ascii="Arial" w:hAnsi="Arial" w:cs="Arial"/>
          <w:u w:val="single"/>
          <w:lang w:eastAsia="en-GB"/>
        </w:rPr>
      </w:pPr>
      <w:r>
        <w:rPr>
          <w:rFonts w:ascii="Arial" w:hAnsi="Arial" w:cs="Arial"/>
          <w:u w:val="single"/>
          <w:lang w:eastAsia="en-GB"/>
        </w:rPr>
        <w:br w:type="page"/>
      </w:r>
    </w:p>
    <w:p w14:paraId="478E4F46" w14:textId="77777777" w:rsidR="007F19B9" w:rsidRPr="00F37C65" w:rsidRDefault="007F19B9" w:rsidP="00B37F59">
      <w:pPr>
        <w:autoSpaceDE w:val="0"/>
        <w:autoSpaceDN w:val="0"/>
        <w:adjustRightInd w:val="0"/>
        <w:rPr>
          <w:rFonts w:ascii="Arial" w:eastAsia="Calibri" w:hAnsi="Arial" w:cs="Arial"/>
          <w:color w:val="000000"/>
        </w:rPr>
      </w:pPr>
      <w:r w:rsidRPr="00F37C65">
        <w:rPr>
          <w:rFonts w:ascii="Arial" w:eastAsia="Calibri" w:hAnsi="Arial" w:cs="Arial"/>
          <w:color w:val="000000"/>
        </w:rPr>
        <w:t xml:space="preserve">10. No development shall take place, until a Construction Method Statement has been submitted to, and approved in writing by the Local Planning Authority. The Statement shall provide for: </w:t>
      </w:r>
    </w:p>
    <w:p w14:paraId="39840CD1" w14:textId="77777777" w:rsidR="007F19B9" w:rsidRPr="00F37C65" w:rsidRDefault="007F19B9" w:rsidP="00B37F59">
      <w:pPr>
        <w:autoSpaceDE w:val="0"/>
        <w:autoSpaceDN w:val="0"/>
        <w:adjustRightInd w:val="0"/>
        <w:spacing w:after="81"/>
        <w:rPr>
          <w:rFonts w:ascii="Arial" w:eastAsia="Calibri" w:hAnsi="Arial" w:cs="Arial"/>
          <w:color w:val="000000"/>
        </w:rPr>
      </w:pPr>
    </w:p>
    <w:p w14:paraId="19EC8658" w14:textId="77777777" w:rsidR="007F19B9" w:rsidRPr="00F37C65" w:rsidRDefault="007F19B9" w:rsidP="00B37F59">
      <w:pPr>
        <w:autoSpaceDE w:val="0"/>
        <w:autoSpaceDN w:val="0"/>
        <w:adjustRightInd w:val="0"/>
        <w:spacing w:after="81"/>
        <w:rPr>
          <w:rFonts w:ascii="Arial" w:eastAsia="Calibri" w:hAnsi="Arial" w:cs="Arial"/>
          <w:color w:val="000000"/>
        </w:rPr>
      </w:pPr>
      <w:proofErr w:type="spellStart"/>
      <w:r w:rsidRPr="00F37C65">
        <w:rPr>
          <w:rFonts w:ascii="Arial" w:eastAsia="Calibri" w:hAnsi="Arial" w:cs="Arial"/>
          <w:color w:val="000000"/>
        </w:rPr>
        <w:t>i</w:t>
      </w:r>
      <w:proofErr w:type="spellEnd"/>
      <w:r w:rsidRPr="00F37C65">
        <w:rPr>
          <w:rFonts w:ascii="Arial" w:eastAsia="Calibri" w:hAnsi="Arial" w:cs="Arial"/>
          <w:color w:val="000000"/>
        </w:rPr>
        <w:t xml:space="preserve">. The parking of vehicles of site operatives and visitors; </w:t>
      </w:r>
    </w:p>
    <w:p w14:paraId="21EA9E56" w14:textId="77777777" w:rsidR="007F19B9" w:rsidRPr="00F37C65" w:rsidRDefault="007F19B9" w:rsidP="00B37F59">
      <w:pPr>
        <w:autoSpaceDE w:val="0"/>
        <w:autoSpaceDN w:val="0"/>
        <w:adjustRightInd w:val="0"/>
        <w:spacing w:after="81"/>
        <w:rPr>
          <w:rFonts w:ascii="Arial" w:eastAsia="Calibri" w:hAnsi="Arial" w:cs="Arial"/>
          <w:color w:val="000000"/>
        </w:rPr>
      </w:pPr>
      <w:r w:rsidRPr="00F37C65">
        <w:rPr>
          <w:rFonts w:ascii="Arial" w:eastAsia="Calibri" w:hAnsi="Arial" w:cs="Arial"/>
          <w:color w:val="000000"/>
        </w:rPr>
        <w:t xml:space="preserve">ii. Loading and unloading of plant and materials; </w:t>
      </w:r>
    </w:p>
    <w:p w14:paraId="40C8FDD8" w14:textId="77777777" w:rsidR="007F19B9" w:rsidRPr="00F37C65" w:rsidRDefault="007F19B9" w:rsidP="00B37F59">
      <w:pPr>
        <w:autoSpaceDE w:val="0"/>
        <w:autoSpaceDN w:val="0"/>
        <w:adjustRightInd w:val="0"/>
        <w:spacing w:after="81"/>
        <w:rPr>
          <w:rFonts w:ascii="Arial" w:eastAsia="Calibri" w:hAnsi="Arial" w:cs="Arial"/>
          <w:color w:val="000000"/>
        </w:rPr>
      </w:pPr>
      <w:proofErr w:type="gramStart"/>
      <w:r w:rsidRPr="00F37C65">
        <w:rPr>
          <w:rFonts w:ascii="Arial" w:eastAsia="Calibri" w:hAnsi="Arial" w:cs="Arial"/>
          <w:color w:val="000000"/>
        </w:rPr>
        <w:t>iii</w:t>
      </w:r>
      <w:proofErr w:type="gramEnd"/>
      <w:r w:rsidRPr="00F37C65">
        <w:rPr>
          <w:rFonts w:ascii="Arial" w:eastAsia="Calibri" w:hAnsi="Arial" w:cs="Arial"/>
          <w:color w:val="000000"/>
        </w:rPr>
        <w:t xml:space="preserve">. Storage of plant and materials used in constructing the development; </w:t>
      </w:r>
    </w:p>
    <w:p w14:paraId="79BF0E93" w14:textId="77777777" w:rsidR="007F19B9" w:rsidRPr="00F37C65" w:rsidRDefault="007F19B9" w:rsidP="00B37F59">
      <w:pPr>
        <w:autoSpaceDE w:val="0"/>
        <w:autoSpaceDN w:val="0"/>
        <w:adjustRightInd w:val="0"/>
        <w:spacing w:after="81"/>
        <w:rPr>
          <w:rFonts w:ascii="Arial" w:eastAsia="Calibri" w:hAnsi="Arial" w:cs="Arial"/>
          <w:color w:val="000000"/>
        </w:rPr>
      </w:pPr>
      <w:r w:rsidRPr="00F37C65">
        <w:rPr>
          <w:rFonts w:ascii="Arial" w:eastAsia="Calibri" w:hAnsi="Arial" w:cs="Arial"/>
          <w:color w:val="000000"/>
        </w:rPr>
        <w:t xml:space="preserve">iv. Wheel washing facilities; </w:t>
      </w:r>
    </w:p>
    <w:p w14:paraId="319F05B4" w14:textId="77777777" w:rsidR="007F19B9" w:rsidRPr="00F37C65" w:rsidRDefault="007F19B9" w:rsidP="00B37F59">
      <w:pPr>
        <w:autoSpaceDE w:val="0"/>
        <w:autoSpaceDN w:val="0"/>
        <w:adjustRightInd w:val="0"/>
        <w:spacing w:after="81"/>
        <w:rPr>
          <w:rFonts w:ascii="Arial" w:eastAsia="Calibri" w:hAnsi="Arial" w:cs="Arial"/>
          <w:color w:val="000000"/>
        </w:rPr>
      </w:pPr>
      <w:r w:rsidRPr="00F37C65">
        <w:rPr>
          <w:rFonts w:ascii="Arial" w:eastAsia="Calibri" w:hAnsi="Arial" w:cs="Arial"/>
          <w:color w:val="000000"/>
        </w:rPr>
        <w:t xml:space="preserve">v. Measures to control the emission of dust and dirt during construction; </w:t>
      </w:r>
    </w:p>
    <w:p w14:paraId="3CAA9E3C" w14:textId="77777777" w:rsidR="007F19B9" w:rsidRPr="00F37C65" w:rsidRDefault="007F19B9" w:rsidP="00B37F59">
      <w:pPr>
        <w:autoSpaceDE w:val="0"/>
        <w:autoSpaceDN w:val="0"/>
        <w:adjustRightInd w:val="0"/>
        <w:spacing w:after="81"/>
        <w:rPr>
          <w:rFonts w:ascii="Arial" w:eastAsia="Calibri" w:hAnsi="Arial" w:cs="Arial"/>
          <w:color w:val="000000"/>
        </w:rPr>
      </w:pPr>
      <w:r w:rsidRPr="00F37C65">
        <w:rPr>
          <w:rFonts w:ascii="Arial" w:eastAsia="Calibri" w:hAnsi="Arial" w:cs="Arial"/>
          <w:color w:val="000000"/>
        </w:rPr>
        <w:t xml:space="preserve">vi. A scheme for recycling/disposing of waste resulting from demolition and construction works; </w:t>
      </w:r>
    </w:p>
    <w:p w14:paraId="78854773" w14:textId="77777777" w:rsidR="007F19B9" w:rsidRPr="00F37C65" w:rsidRDefault="007F19B9" w:rsidP="00B37F59">
      <w:pPr>
        <w:autoSpaceDE w:val="0"/>
        <w:autoSpaceDN w:val="0"/>
        <w:adjustRightInd w:val="0"/>
        <w:spacing w:after="81"/>
        <w:rPr>
          <w:rFonts w:ascii="Arial" w:eastAsia="Calibri" w:hAnsi="Arial" w:cs="Arial"/>
          <w:color w:val="000000"/>
        </w:rPr>
      </w:pPr>
      <w:r w:rsidRPr="00F37C65">
        <w:rPr>
          <w:rFonts w:ascii="Arial" w:eastAsia="Calibri" w:hAnsi="Arial" w:cs="Arial"/>
          <w:color w:val="000000"/>
        </w:rPr>
        <w:t xml:space="preserve">vii. Delivery, demolition and construction working hours; </w:t>
      </w:r>
    </w:p>
    <w:p w14:paraId="2C12F6F2" w14:textId="77777777" w:rsidR="007F19B9" w:rsidRPr="00F37C65" w:rsidRDefault="007F19B9" w:rsidP="00B37F59">
      <w:pPr>
        <w:autoSpaceDE w:val="0"/>
        <w:autoSpaceDN w:val="0"/>
        <w:adjustRightInd w:val="0"/>
        <w:spacing w:after="81"/>
        <w:rPr>
          <w:rFonts w:ascii="Arial" w:eastAsia="Calibri" w:hAnsi="Arial" w:cs="Arial"/>
          <w:color w:val="000000"/>
        </w:rPr>
      </w:pPr>
      <w:r w:rsidRPr="00F37C65">
        <w:rPr>
          <w:rFonts w:ascii="Arial" w:eastAsia="Calibri" w:hAnsi="Arial" w:cs="Arial"/>
          <w:color w:val="000000"/>
        </w:rPr>
        <w:t>viii. Site manager and resident liaison officer contact details (including their remit and responsibilities).</w:t>
      </w:r>
    </w:p>
    <w:p w14:paraId="6E98789B" w14:textId="77777777" w:rsidR="007F19B9" w:rsidRPr="00F37C65" w:rsidRDefault="007F19B9" w:rsidP="00B37F59">
      <w:pPr>
        <w:autoSpaceDE w:val="0"/>
        <w:autoSpaceDN w:val="0"/>
        <w:adjustRightInd w:val="0"/>
        <w:rPr>
          <w:rFonts w:ascii="Arial" w:eastAsia="Calibri" w:hAnsi="Arial" w:cs="Arial"/>
          <w:color w:val="000000"/>
        </w:rPr>
      </w:pPr>
    </w:p>
    <w:p w14:paraId="6A57B237" w14:textId="77777777" w:rsidR="007F19B9" w:rsidRPr="00F37C65" w:rsidRDefault="007F19B9" w:rsidP="00B37F59">
      <w:pPr>
        <w:autoSpaceDE w:val="0"/>
        <w:autoSpaceDN w:val="0"/>
        <w:adjustRightInd w:val="0"/>
        <w:rPr>
          <w:rFonts w:ascii="Arial" w:eastAsia="Calibri" w:hAnsi="Arial" w:cs="Arial"/>
          <w:color w:val="000000"/>
        </w:rPr>
      </w:pPr>
      <w:r w:rsidRPr="00F37C65">
        <w:rPr>
          <w:rFonts w:ascii="Arial" w:eastAsia="Calibri" w:hAnsi="Arial" w:cs="Arial"/>
          <w:color w:val="000000"/>
        </w:rPr>
        <w:t xml:space="preserve">The approved Construction Method Statement shall be adhered to throughout the construction period for the development. </w:t>
      </w:r>
    </w:p>
    <w:p w14:paraId="415CD500" w14:textId="77777777" w:rsidR="007F19B9" w:rsidRPr="00F37C65" w:rsidRDefault="007F19B9" w:rsidP="00B37F59">
      <w:pPr>
        <w:autoSpaceDE w:val="0"/>
        <w:autoSpaceDN w:val="0"/>
        <w:adjustRightInd w:val="0"/>
        <w:rPr>
          <w:rFonts w:ascii="Arial" w:eastAsia="Calibri" w:hAnsi="Arial" w:cs="Arial"/>
          <w:color w:val="000000"/>
        </w:rPr>
      </w:pPr>
      <w:proofErr w:type="gramStart"/>
      <w:r w:rsidRPr="00F37C65">
        <w:rPr>
          <w:rFonts w:ascii="Arial" w:eastAsia="Calibri" w:hAnsi="Arial" w:cs="Arial"/>
          <w:b/>
          <w:color w:val="000000"/>
        </w:rPr>
        <w:t>Reason</w:t>
      </w:r>
      <w:r w:rsidRPr="00F37C65">
        <w:rPr>
          <w:rFonts w:ascii="Arial" w:eastAsia="Calibri" w:hAnsi="Arial" w:cs="Arial"/>
          <w:color w:val="000000"/>
        </w:rPr>
        <w:t>.</w:t>
      </w:r>
      <w:proofErr w:type="gramEnd"/>
      <w:r w:rsidRPr="00F37C65">
        <w:rPr>
          <w:rFonts w:ascii="Arial" w:eastAsia="Calibri" w:hAnsi="Arial" w:cs="Arial"/>
          <w:color w:val="000000"/>
        </w:rPr>
        <w:t xml:space="preserve"> </w:t>
      </w:r>
      <w:proofErr w:type="gramStart"/>
      <w:r w:rsidRPr="00F37C65">
        <w:rPr>
          <w:rFonts w:ascii="Arial" w:eastAsia="Calibri" w:hAnsi="Arial" w:cs="Arial"/>
          <w:color w:val="000000"/>
        </w:rPr>
        <w:t>In the interests of highway safety and to accord with Policy LP21 of the Kirklees Local Plan.</w:t>
      </w:r>
      <w:proofErr w:type="gramEnd"/>
    </w:p>
    <w:p w14:paraId="216445DB" w14:textId="77777777" w:rsidR="007F19B9" w:rsidRPr="00AA2FF7" w:rsidRDefault="007F19B9" w:rsidP="00B37F59">
      <w:pPr>
        <w:pStyle w:val="NoSpacing"/>
      </w:pPr>
    </w:p>
    <w:p w14:paraId="1ED8A8C5" w14:textId="77777777" w:rsidR="007F19B9" w:rsidRPr="00AA2FF7" w:rsidRDefault="007F19B9" w:rsidP="00B37F59">
      <w:pPr>
        <w:pStyle w:val="Default"/>
      </w:pPr>
      <w:r w:rsidRPr="00AA2FF7">
        <w:t xml:space="preserve">11. Groundworks shall not commence until actual or potential land contamination at the site has been investigated and a Preliminary Risk Assessment (Phase I Desk Study Report) has been submitted to and approved in writing by the Local Planning Authority. </w:t>
      </w:r>
    </w:p>
    <w:p w14:paraId="78CF489B" w14:textId="7A4D67A8" w:rsidR="007F19B9" w:rsidRPr="00AA2FF7" w:rsidRDefault="007F19B9" w:rsidP="00B37F59">
      <w:pPr>
        <w:pStyle w:val="Default"/>
      </w:pPr>
      <w:r w:rsidRPr="00AA2FF7">
        <w:rPr>
          <w:b/>
          <w:bCs/>
        </w:rPr>
        <w:t xml:space="preserve">Reason: </w:t>
      </w:r>
      <w:r w:rsidRPr="00AA2FF7">
        <w:t xml:space="preserve">To identify and remove unacceptable risks to human health and the environment </w:t>
      </w:r>
      <w:r w:rsidR="00AA2FF7" w:rsidRPr="00AA2FF7">
        <w:t>regarding</w:t>
      </w:r>
      <w:r w:rsidRPr="00AA2FF7">
        <w:t xml:space="preserve"> </w:t>
      </w:r>
      <w:r w:rsidR="00AA2FF7" w:rsidRPr="00AA2FF7">
        <w:t>ground-based</w:t>
      </w:r>
      <w:r w:rsidRPr="00AA2FF7">
        <w:t xml:space="preserve"> contaminants and in accordance with guidance contained within Policy LP53 of the Kirklees Local Plan and Chapter 15 of the National Planning Policy Framework. </w:t>
      </w:r>
    </w:p>
    <w:p w14:paraId="4321679B" w14:textId="77777777" w:rsidR="007F19B9" w:rsidRPr="00AA2FF7" w:rsidRDefault="007F19B9" w:rsidP="00B37F59">
      <w:pPr>
        <w:pStyle w:val="Default"/>
      </w:pPr>
      <w:r w:rsidRPr="00AA2FF7">
        <w:rPr>
          <w:b/>
          <w:bCs/>
        </w:rPr>
        <w:t xml:space="preserve">  </w:t>
      </w:r>
    </w:p>
    <w:p w14:paraId="7390848A" w14:textId="378149D8" w:rsidR="007F19B9" w:rsidRPr="00AA2FF7" w:rsidRDefault="007F19B9" w:rsidP="00B37F59">
      <w:pPr>
        <w:pStyle w:val="Default"/>
      </w:pPr>
      <w:r w:rsidRPr="00AA2FF7">
        <w:t xml:space="preserve">12. Where further intrusive investigation is recommended in the Preliminary Risk Assessment approved pursuant to condition </w:t>
      </w:r>
      <w:r w:rsidR="00AA2FF7" w:rsidRPr="00AA2FF7">
        <w:t>11</w:t>
      </w:r>
      <w:r w:rsidRPr="00AA2FF7">
        <w:t xml:space="preserve"> groundworks (other than those required for a site investigation report) shall not commence until a Phase II Intrusive Site Investigation Report has been submitted to and approved in writing by the Local Planning Authority. </w:t>
      </w:r>
    </w:p>
    <w:p w14:paraId="270E6BFF" w14:textId="77777777" w:rsidR="00AA2FF7" w:rsidRPr="00AA2FF7" w:rsidRDefault="00AA2FF7" w:rsidP="00AA2FF7">
      <w:pPr>
        <w:pStyle w:val="Default"/>
      </w:pPr>
      <w:r w:rsidRPr="00AA2FF7">
        <w:rPr>
          <w:b/>
          <w:bCs/>
        </w:rPr>
        <w:t xml:space="preserve">Reason: </w:t>
      </w:r>
      <w:r w:rsidRPr="00AA2FF7">
        <w:t xml:space="preserve">To identify and remove unacceptable risks to human health and the environment regarding ground-based contaminants and in accordance with guidance contained within Policy LP53 of the Kirklees Local Plan and Chapter 15 of the National Planning Policy Framework. </w:t>
      </w:r>
    </w:p>
    <w:p w14:paraId="5F4F37FC" w14:textId="26B07C6E" w:rsidR="009D31B8" w:rsidRDefault="007F19B9" w:rsidP="00B37F59">
      <w:pPr>
        <w:pStyle w:val="NoSpacing"/>
        <w:rPr>
          <w:b/>
          <w:bCs/>
        </w:rPr>
      </w:pPr>
      <w:r w:rsidRPr="00AA2FF7">
        <w:rPr>
          <w:b/>
          <w:bCs/>
        </w:rPr>
        <w:t xml:space="preserve"> </w:t>
      </w:r>
    </w:p>
    <w:p w14:paraId="2AE823C1" w14:textId="77777777" w:rsidR="007F19B9" w:rsidRPr="00AA2FF7" w:rsidRDefault="009D31B8" w:rsidP="00B37F59">
      <w:pPr>
        <w:pStyle w:val="NoSpacing"/>
      </w:pPr>
      <w:r>
        <w:rPr>
          <w:b/>
          <w:bCs/>
        </w:rPr>
        <w:br w:type="page"/>
      </w:r>
    </w:p>
    <w:p w14:paraId="7D23B5AE" w14:textId="5EC4DA4C" w:rsidR="007F19B9" w:rsidRPr="00AA2FF7" w:rsidRDefault="007F19B9" w:rsidP="00B37F59">
      <w:pPr>
        <w:pStyle w:val="Default"/>
      </w:pPr>
      <w:r w:rsidRPr="00AA2FF7">
        <w:rPr>
          <w:rFonts w:eastAsia="Times New Roman"/>
          <w:color w:val="auto"/>
        </w:rPr>
        <w:t xml:space="preserve">13. </w:t>
      </w:r>
      <w:r w:rsidRPr="00AA2FF7">
        <w:t xml:space="preserve">Where site remediation is recommended in the Phase II Intrusive Site Investigation Report approved pursuant to condition </w:t>
      </w:r>
      <w:r w:rsidR="00AA2FF7" w:rsidRPr="00AA2FF7">
        <w:t>12</w:t>
      </w:r>
      <w:r w:rsidRPr="00AA2FF7">
        <w:t xml:space="preserve"> further groundworks shall not commence until a Remediation Strategy has been submitted to and approved in writing by the Local Planning Authority. The Remediation Strategy shall include a timetable for the implementation and completion of the approved remediation measures. </w:t>
      </w:r>
    </w:p>
    <w:p w14:paraId="3824258E" w14:textId="4377C666" w:rsidR="00AA2FF7" w:rsidRPr="00AA2FF7" w:rsidRDefault="00AA2FF7" w:rsidP="00B37F59">
      <w:pPr>
        <w:pStyle w:val="Default"/>
      </w:pPr>
      <w:r w:rsidRPr="00AA2FF7">
        <w:rPr>
          <w:b/>
          <w:bCs/>
        </w:rPr>
        <w:t xml:space="preserve">Reason: </w:t>
      </w:r>
      <w:r w:rsidRPr="00AA2FF7">
        <w:t>To identify and remove unacceptable risks to human health and the environment regarding ground-based contaminants and in accordance with guidance contained within Policy LP53 of the Kirklees Local Plan and Chapter 15 of the National Planning Policy Framework.</w:t>
      </w:r>
    </w:p>
    <w:p w14:paraId="65030A13" w14:textId="77777777" w:rsidR="00AA2FF7" w:rsidRPr="00AA2FF7" w:rsidRDefault="00AA2FF7" w:rsidP="00B37F59">
      <w:pPr>
        <w:pStyle w:val="Default"/>
      </w:pPr>
    </w:p>
    <w:p w14:paraId="5E16ECAF" w14:textId="519C9496" w:rsidR="007F19B9" w:rsidRPr="00AA2FF7" w:rsidRDefault="007F19B9" w:rsidP="00B37F59">
      <w:pPr>
        <w:pStyle w:val="Default"/>
      </w:pPr>
      <w:r w:rsidRPr="00AA2FF7">
        <w:t xml:space="preserve">14. Remediation of the site shall be carried out and completed in accordance with the Remediation Strategy approved pursuant to condition </w:t>
      </w:r>
      <w:r w:rsidR="00AA2FF7" w:rsidRPr="00AA2FF7">
        <w:t>13</w:t>
      </w:r>
      <w:r w:rsidRPr="00AA2FF7">
        <w:t xml:space="preserve">. In the event that remediation is unable to proceed in accordance with the approved Remediation Strategy or contamination not previously considered [in either the Preliminary Risk Assessment or the Phase II Intrusive Site Investigation Report] is identified or encountered on site, all groundworks in the affected area (except for site investigation works) shall cease immediately and the Local Planning Authority shall be notified in writing within 2 working days. Works shall not recommence until proposed revisions to the Remediation Strategy have been submitted to and approved in writing by the Local Planning Authority. Remediation of the site shall thereafter be carried out in accordance with the approved revised Remediation Strategy. </w:t>
      </w:r>
    </w:p>
    <w:p w14:paraId="310DF59F" w14:textId="77777777" w:rsidR="00AA2FF7" w:rsidRPr="00AA2FF7" w:rsidRDefault="00AA2FF7" w:rsidP="00B37F59">
      <w:pPr>
        <w:pStyle w:val="NoSpacing"/>
      </w:pPr>
      <w:r w:rsidRPr="00AA2FF7">
        <w:rPr>
          <w:b/>
          <w:bCs/>
        </w:rPr>
        <w:t xml:space="preserve">Reason: </w:t>
      </w:r>
      <w:r w:rsidRPr="00AA2FF7">
        <w:t>To identify and remove unacceptable risks to human health and the environment regarding ground-based contaminants and in accordance with guidance contained within Policy LP53 of the Kirklees Local Plan and Chapter 15 of the National Planning Policy Framework.</w:t>
      </w:r>
    </w:p>
    <w:p w14:paraId="28FF3D48" w14:textId="49893DA0" w:rsidR="007F19B9" w:rsidRPr="00AA2FF7" w:rsidRDefault="007F19B9" w:rsidP="00B37F59">
      <w:pPr>
        <w:pStyle w:val="NoSpacing"/>
      </w:pPr>
      <w:r w:rsidRPr="00AA2FF7">
        <w:rPr>
          <w:b/>
          <w:bCs/>
        </w:rPr>
        <w:t xml:space="preserve"> </w:t>
      </w:r>
    </w:p>
    <w:p w14:paraId="62DEADAC" w14:textId="77777777" w:rsidR="007F19B9" w:rsidRPr="00AA2FF7" w:rsidRDefault="007F19B9" w:rsidP="00B37F59">
      <w:pPr>
        <w:pStyle w:val="Default"/>
      </w:pPr>
      <w:r w:rsidRPr="00AA2FF7">
        <w:t xml:space="preserve">15. Following completion of any measures identified in the approved Remediation Strategy or a Validation Report shall be submitted to the Local Planning Authority. No part of the site shall be brought into use until such time as the remediation measures have been completed for (that part of) the site in accordance with the approved Remediation Strategy or the approved revised Remediation Strategy and a Validation Report in respect of those remediation measures has been approved in writing by the Local Planning Authority. Where validation has been submitted and approved in stages for different areas of the whole site, a Final Validation Summary Report shall be submitted to and approved in writing by the Local Planning Authority. </w:t>
      </w:r>
    </w:p>
    <w:p w14:paraId="6B1756BB" w14:textId="77777777" w:rsidR="00AA2FF7" w:rsidRPr="00AA2FF7" w:rsidRDefault="00AA2FF7" w:rsidP="00AA2FF7">
      <w:pPr>
        <w:pStyle w:val="NoSpacing"/>
      </w:pPr>
      <w:r w:rsidRPr="00AA2FF7">
        <w:rPr>
          <w:b/>
          <w:bCs/>
        </w:rPr>
        <w:t xml:space="preserve">Reason: </w:t>
      </w:r>
      <w:r w:rsidRPr="00AA2FF7">
        <w:t>To identify and remove unacceptable risks to human health and the environment regarding ground-based contaminants and in accordance with guidance contained within Policy LP53 of the Kirklees Local Plan and Chapter 15 of the National Planning Policy Framework.</w:t>
      </w:r>
    </w:p>
    <w:p w14:paraId="5263DDCA" w14:textId="4F441AF2" w:rsidR="009D31B8" w:rsidRDefault="007F19B9" w:rsidP="00B37F59">
      <w:pPr>
        <w:pStyle w:val="Default"/>
        <w:rPr>
          <w:b/>
          <w:bCs/>
        </w:rPr>
      </w:pPr>
      <w:r w:rsidRPr="00AA2FF7">
        <w:rPr>
          <w:b/>
          <w:bCs/>
        </w:rPr>
        <w:t xml:space="preserve"> </w:t>
      </w:r>
    </w:p>
    <w:p w14:paraId="7CC5E737" w14:textId="77777777" w:rsidR="007F19B9" w:rsidRPr="00AA2FF7" w:rsidRDefault="009D31B8" w:rsidP="00B37F59">
      <w:pPr>
        <w:pStyle w:val="Default"/>
        <w:rPr>
          <w:b/>
          <w:bCs/>
        </w:rPr>
      </w:pPr>
      <w:r>
        <w:rPr>
          <w:b/>
          <w:bCs/>
        </w:rPr>
        <w:br w:type="page"/>
      </w:r>
    </w:p>
    <w:p w14:paraId="5C407FD3" w14:textId="035B2D84" w:rsidR="007F19B9" w:rsidRDefault="007F19B9" w:rsidP="00B37F59">
      <w:pPr>
        <w:pStyle w:val="Default"/>
      </w:pPr>
      <w:r w:rsidRPr="00AA2FF7">
        <w:t xml:space="preserve">16. In the event that contamination not previously identified by the developer prior to the grant of this planning permission is encountered during the development, all groundworks in the affected area (except for site investigation works) shall cease immediately and the Local Planning Authority shall be notified in writing within 2 working days. Groundworks in the affected area shall not recommence until either (a) a Remediation Strategy has been submitted to and approved in writing by the Local Planning Authority or (b) the Local Planning Authority has confirmed in writing that remediation measures are not required. The Remediation Strategy shall include a timetable for the implementation and completion of the approved remediation measures. Thereafter remediation of the site shall be carried out and completed in accordance with the approved Remediation Strategy. </w:t>
      </w:r>
    </w:p>
    <w:p w14:paraId="5BEDE476" w14:textId="77777777" w:rsidR="008B4ADE" w:rsidRPr="00AA2FF7" w:rsidRDefault="008B4ADE" w:rsidP="00B37F59">
      <w:pPr>
        <w:pStyle w:val="Default"/>
      </w:pPr>
    </w:p>
    <w:p w14:paraId="31749BA4" w14:textId="77777777" w:rsidR="007F19B9" w:rsidRPr="00AA2FF7" w:rsidRDefault="007F19B9" w:rsidP="00B37F59">
      <w:pPr>
        <w:pStyle w:val="Default"/>
      </w:pPr>
      <w:r w:rsidRPr="00AA2FF7">
        <w:t xml:space="preserve">Following completion of any measures identified in the approved Remediation Strategy a Validation Report shall be submitted to the Local Planning Authority. Unless otherwise approved in writing by the Local Planning Authority, No part of the site shall be brought into use until such time as the site has been remediated in accordance with the approved Remediation Strategy and a Validation Report in respect of those works has been approved in writing by the Local Planning Authority. </w:t>
      </w:r>
    </w:p>
    <w:p w14:paraId="79672D6E" w14:textId="0646CB94" w:rsidR="00AA2FF7" w:rsidRPr="00AA2FF7" w:rsidRDefault="00AA2FF7" w:rsidP="00AA2FF7">
      <w:pPr>
        <w:pStyle w:val="NoSpacing"/>
      </w:pPr>
      <w:r w:rsidRPr="00AA2FF7">
        <w:rPr>
          <w:b/>
          <w:bCs/>
        </w:rPr>
        <w:t xml:space="preserve">Reason: </w:t>
      </w:r>
      <w:r w:rsidRPr="00AA2FF7">
        <w:t>To remove unacceptable risks to human health and the environment regarding ground-based contaminants and in accordance with guidance contained within Policy LP53 of the Kirklees Local Plan and Chapter 15 of the National Planning Policy Framework.</w:t>
      </w:r>
    </w:p>
    <w:p w14:paraId="16BD7C96" w14:textId="64FC8E8E" w:rsidR="007F19B9" w:rsidRPr="00AA2FF7" w:rsidRDefault="007F19B9" w:rsidP="00B37F59">
      <w:pPr>
        <w:pStyle w:val="Default"/>
      </w:pPr>
    </w:p>
    <w:p w14:paraId="7E615577" w14:textId="77777777" w:rsidR="007F19B9" w:rsidRPr="00AA2FF7" w:rsidRDefault="007F19B9" w:rsidP="00B37F59">
      <w:pPr>
        <w:pStyle w:val="Default"/>
      </w:pPr>
      <w:r w:rsidRPr="00AA2FF7">
        <w:t xml:space="preserve">17. Prior to development commencing a Construction Environmental Management Plan (CEMP) shall be submitted to and agreed in writing with the Local Planning Authority. The plan shall describe in detail the actions that will be taken to minimise adverse impacts on occupiers of nearby properties by effectively controlling:- </w:t>
      </w:r>
    </w:p>
    <w:p w14:paraId="7718A14D" w14:textId="77777777" w:rsidR="007F19B9" w:rsidRPr="00AA2FF7" w:rsidRDefault="007F19B9" w:rsidP="00B37F59">
      <w:pPr>
        <w:pStyle w:val="Default"/>
      </w:pPr>
    </w:p>
    <w:p w14:paraId="06F0F68B" w14:textId="77777777" w:rsidR="007F19B9" w:rsidRPr="00AA2FF7" w:rsidRDefault="007F19B9" w:rsidP="007F19B9">
      <w:pPr>
        <w:pStyle w:val="Default"/>
        <w:numPr>
          <w:ilvl w:val="0"/>
          <w:numId w:val="3"/>
        </w:numPr>
      </w:pPr>
      <w:r w:rsidRPr="00AA2FF7">
        <w:t xml:space="preserve">Noise &amp; vibration arising from all construction related activities to. This should also include suitable restrictions on the hours of working on the site including times of deliveries. </w:t>
      </w:r>
    </w:p>
    <w:p w14:paraId="652EF7CE" w14:textId="77777777" w:rsidR="007F19B9" w:rsidRPr="00AA2FF7" w:rsidRDefault="007F19B9" w:rsidP="007F19B9">
      <w:pPr>
        <w:pStyle w:val="Default"/>
        <w:numPr>
          <w:ilvl w:val="0"/>
          <w:numId w:val="3"/>
        </w:numPr>
      </w:pPr>
      <w:r w:rsidRPr="00AA2FF7">
        <w:t xml:space="preserve">Dust arising from all construction related activities </w:t>
      </w:r>
    </w:p>
    <w:p w14:paraId="55E57459" w14:textId="77777777" w:rsidR="007F19B9" w:rsidRPr="00F37C65" w:rsidRDefault="007F19B9" w:rsidP="007F19B9">
      <w:pPr>
        <w:pStyle w:val="ListParagraph"/>
        <w:numPr>
          <w:ilvl w:val="0"/>
          <w:numId w:val="3"/>
        </w:numPr>
        <w:autoSpaceDE w:val="0"/>
        <w:autoSpaceDN w:val="0"/>
        <w:adjustRightInd w:val="0"/>
        <w:rPr>
          <w:rFonts w:ascii="Arial" w:eastAsia="Calibri" w:hAnsi="Arial" w:cs="Arial"/>
          <w:color w:val="000000"/>
        </w:rPr>
      </w:pPr>
      <w:r w:rsidRPr="00F37C65">
        <w:rPr>
          <w:rFonts w:ascii="Arial" w:eastAsia="Calibri" w:hAnsi="Arial" w:cs="Arial"/>
          <w:color w:val="000000"/>
        </w:rPr>
        <w:t xml:space="preserve">Artificial lighting used in connection with all construction related activities and security of the construction site. </w:t>
      </w:r>
    </w:p>
    <w:p w14:paraId="5EAD645B" w14:textId="77777777" w:rsidR="007F19B9" w:rsidRPr="00F37C65" w:rsidRDefault="007F19B9" w:rsidP="00B37F59">
      <w:pPr>
        <w:autoSpaceDE w:val="0"/>
        <w:autoSpaceDN w:val="0"/>
        <w:adjustRightInd w:val="0"/>
        <w:rPr>
          <w:rFonts w:ascii="Arial" w:eastAsia="Calibri" w:hAnsi="Arial" w:cs="Arial"/>
          <w:color w:val="000000"/>
        </w:rPr>
      </w:pPr>
    </w:p>
    <w:p w14:paraId="3CEFD1B9" w14:textId="77777777" w:rsidR="007F19B9" w:rsidRPr="00F37C65" w:rsidRDefault="007F19B9" w:rsidP="00B37F59">
      <w:pPr>
        <w:autoSpaceDE w:val="0"/>
        <w:autoSpaceDN w:val="0"/>
        <w:adjustRightInd w:val="0"/>
        <w:rPr>
          <w:rFonts w:ascii="Arial" w:eastAsia="Calibri" w:hAnsi="Arial" w:cs="Arial"/>
          <w:color w:val="000000"/>
        </w:rPr>
      </w:pPr>
      <w:r w:rsidRPr="00F37C65">
        <w:rPr>
          <w:rFonts w:ascii="Arial" w:eastAsia="Calibri" w:hAnsi="Arial" w:cs="Arial"/>
          <w:color w:val="000000"/>
        </w:rPr>
        <w:t xml:space="preserve">The agreed plan shall be adhered to throughout the construction of the development. </w:t>
      </w:r>
    </w:p>
    <w:p w14:paraId="574D77CE" w14:textId="6CCB3964" w:rsidR="007F19B9" w:rsidRPr="00AA2FF7" w:rsidRDefault="007F19B9" w:rsidP="00B37F59">
      <w:pPr>
        <w:pStyle w:val="NoSpacing"/>
      </w:pPr>
      <w:r w:rsidRPr="00F37C65">
        <w:rPr>
          <w:rFonts w:eastAsia="Calibri"/>
          <w:b/>
          <w:bCs/>
          <w:color w:val="000000"/>
        </w:rPr>
        <w:t xml:space="preserve">Reason: </w:t>
      </w:r>
      <w:r w:rsidRPr="00F37C65">
        <w:rPr>
          <w:rFonts w:eastAsia="Calibri"/>
          <w:color w:val="000000"/>
        </w:rPr>
        <w:t xml:space="preserve">To safeguard the amenities of the occupiers of nearby properties in accordance with </w:t>
      </w:r>
      <w:r w:rsidR="00AA2FF7" w:rsidRPr="00F37C65">
        <w:rPr>
          <w:rFonts w:eastAsia="Calibri"/>
          <w:color w:val="000000"/>
        </w:rPr>
        <w:t>Policies LP24 and LP52 of the Kirklees Local Plan and Chapter</w:t>
      </w:r>
      <w:r w:rsidRPr="00F37C65">
        <w:rPr>
          <w:rFonts w:eastAsia="Calibri"/>
          <w:color w:val="000000"/>
        </w:rPr>
        <w:t xml:space="preserve"> 15 of the National Planning Policy Framework. </w:t>
      </w:r>
    </w:p>
    <w:p w14:paraId="51F9EC42" w14:textId="77777777" w:rsidR="007F19B9" w:rsidRPr="00AA2FF7" w:rsidRDefault="007F19B9" w:rsidP="00B37F59">
      <w:pPr>
        <w:pStyle w:val="NoSpacing"/>
      </w:pPr>
    </w:p>
    <w:p w14:paraId="7BE97252" w14:textId="77777777" w:rsidR="007F19B9" w:rsidRPr="00AA2FF7" w:rsidRDefault="007F19B9" w:rsidP="00B37F59">
      <w:pPr>
        <w:pStyle w:val="NoSpacing"/>
      </w:pPr>
      <w:r w:rsidRPr="00AA2FF7">
        <w:t>18. Prior to development commencing a scheme detailing the provision of electric charging points, shall be submitted for the written approval of the local planning authority. The agreed scheme shall be implemented prior to the occupation of any of the dwellings they relate to.</w:t>
      </w:r>
    </w:p>
    <w:p w14:paraId="28FB3D75" w14:textId="77777777" w:rsidR="00AA2FF7" w:rsidRPr="00AA2FF7" w:rsidRDefault="00AA2FF7" w:rsidP="00AA2FF7">
      <w:pPr>
        <w:pStyle w:val="NoSpacing"/>
      </w:pPr>
      <w:r w:rsidRPr="00AA2FF7">
        <w:rPr>
          <w:b/>
        </w:rPr>
        <w:t>Reason</w:t>
      </w:r>
      <w:r w:rsidRPr="00AA2FF7">
        <w:t>: In the interest of supporting low emission vehicles, to accord with the guidance contained in Policies LP24 and LP51 of the Kirklees Local Plan and Chapters 9 and 15 of the National Planning Policy Framework.</w:t>
      </w:r>
    </w:p>
    <w:p w14:paraId="6382220E" w14:textId="77777777" w:rsidR="007F19B9" w:rsidRPr="00AA2FF7" w:rsidRDefault="007F19B9" w:rsidP="00B37F59">
      <w:pPr>
        <w:pStyle w:val="NoSpacing"/>
        <w:rPr>
          <w:b/>
        </w:rPr>
      </w:pPr>
    </w:p>
    <w:p w14:paraId="12615026" w14:textId="27D1E218" w:rsidR="007F19B9" w:rsidRPr="00AA2FF7" w:rsidRDefault="007F19B9" w:rsidP="00B37F59">
      <w:pPr>
        <w:rPr>
          <w:rFonts w:ascii="Arial" w:hAnsi="Arial" w:cs="Arial"/>
        </w:rPr>
      </w:pPr>
      <w:r w:rsidRPr="00AA2FF7">
        <w:rPr>
          <w:rFonts w:ascii="Arial" w:hAnsi="Arial" w:cs="Arial"/>
        </w:rPr>
        <w:lastRenderedPageBreak/>
        <w:t xml:space="preserve">19. No development shall take place until a scheme detailing </w:t>
      </w:r>
      <w:r w:rsidR="00AA2FF7" w:rsidRPr="00AA2FF7">
        <w:rPr>
          <w:rFonts w:ascii="Arial" w:hAnsi="Arial" w:cs="Arial"/>
        </w:rPr>
        <w:t>biodiversity</w:t>
      </w:r>
      <w:r w:rsidRPr="00AA2FF7">
        <w:rPr>
          <w:rFonts w:ascii="Arial" w:hAnsi="Arial" w:cs="Arial"/>
        </w:rPr>
        <w:t xml:space="preserve"> enhancement (including bird and bat roost opportunities within the development) has been submitted for the written approval of the Local Planning Authority. The approved scheme shall be implemented prior to occupation, or in accordance with a timetable to be agreed who the Local Planning </w:t>
      </w:r>
      <w:r w:rsidR="00AA2FF7" w:rsidRPr="00AA2FF7">
        <w:rPr>
          <w:rFonts w:ascii="Arial" w:hAnsi="Arial" w:cs="Arial"/>
        </w:rPr>
        <w:t>Authority and</w:t>
      </w:r>
      <w:r w:rsidRPr="00AA2FF7">
        <w:rPr>
          <w:rFonts w:ascii="Arial" w:hAnsi="Arial" w:cs="Arial"/>
        </w:rPr>
        <w:t xml:space="preserve"> retained permanently thereafter.</w:t>
      </w:r>
    </w:p>
    <w:p w14:paraId="22A15B6F" w14:textId="77777777" w:rsidR="00AA2FF7" w:rsidRPr="00AA2FF7" w:rsidRDefault="00AA2FF7" w:rsidP="00AA2FF7">
      <w:pPr>
        <w:rPr>
          <w:rFonts w:ascii="Arial" w:hAnsi="Arial"/>
        </w:rPr>
      </w:pPr>
      <w:r w:rsidRPr="00AA2FF7">
        <w:rPr>
          <w:rFonts w:ascii="Arial" w:hAnsi="Arial"/>
          <w:b/>
        </w:rPr>
        <w:t>Reason</w:t>
      </w:r>
      <w:r w:rsidRPr="00AA2FF7">
        <w:rPr>
          <w:rFonts w:ascii="Arial" w:hAnsi="Arial"/>
        </w:rPr>
        <w:t>: In the interests of enhancing the biodiversity value of the site, in accordance with Policy LP30 of the Kirklees Local Plan and Chapter 15 of the National Planning Policy Framework.</w:t>
      </w:r>
    </w:p>
    <w:p w14:paraId="25ABB542" w14:textId="77777777" w:rsidR="007F19B9" w:rsidRPr="00AA2FF7" w:rsidRDefault="007F19B9" w:rsidP="00B37F59">
      <w:pPr>
        <w:rPr>
          <w:rFonts w:ascii="Arial" w:hAnsi="Arial" w:cs="Arial"/>
        </w:rPr>
      </w:pPr>
    </w:p>
    <w:p w14:paraId="47555CF3" w14:textId="77777777" w:rsidR="007F19B9" w:rsidRPr="00AA2FF7" w:rsidRDefault="007F19B9" w:rsidP="00B37F59">
      <w:pPr>
        <w:pStyle w:val="Default"/>
      </w:pPr>
      <w:r w:rsidRPr="00AA2FF7">
        <w:t xml:space="preserve">20. No development shall commence until a scheme detailing separate foul, surface water and land drainage, (including off site works, outfalls, an agreed surface water discharge rate with the LLFA, balancing works incorporating the critical 1 in 30 and 1 in 100 storm events with a 30% allowance for climate change, plans and longitudinal sections, hydraulic calculations, phasing of drainage provision, existing drainage to be maintained/diverted/abandoned, and percolation tests, where appropriate) has been submitted to and approved in writing by the Local Planning Authority. The scheme shall include a detailed maintenance and management regime for the piped watercourse and works for the lifetime of the development. None of the dwellings shall be occupied until such approved drainage scheme has been provided on the site to serve the development, or each agreed phasing of the development to which the dwellings relate, and retained thereafter in accordance with the agreed management and maintenance plan. </w:t>
      </w:r>
    </w:p>
    <w:p w14:paraId="75317564" w14:textId="6E4A36F2" w:rsidR="007F19B9" w:rsidRPr="00AA2FF7" w:rsidRDefault="007F19B9" w:rsidP="00B37F59">
      <w:pPr>
        <w:rPr>
          <w:rFonts w:ascii="Arial" w:hAnsi="Arial" w:cs="Arial"/>
        </w:rPr>
      </w:pPr>
      <w:r w:rsidRPr="00AA2FF7">
        <w:rPr>
          <w:rFonts w:ascii="Arial" w:hAnsi="Arial" w:cs="Arial"/>
          <w:b/>
        </w:rPr>
        <w:t xml:space="preserve">Reason: </w:t>
      </w:r>
      <w:r w:rsidRPr="00AA2FF7">
        <w:rPr>
          <w:rFonts w:ascii="Arial" w:hAnsi="Arial" w:cs="Arial"/>
        </w:rPr>
        <w:t>In the interest of the satisfactory drainage of the site and to accord with Policy LP28 of the Kirklees Local Plan.</w:t>
      </w:r>
    </w:p>
    <w:p w14:paraId="302AD1DC" w14:textId="77777777" w:rsidR="00AA2FF7" w:rsidRPr="00AA2FF7" w:rsidRDefault="00AA2FF7" w:rsidP="00B37F59">
      <w:pPr>
        <w:rPr>
          <w:rFonts w:ascii="Arial" w:hAnsi="Arial" w:cs="Arial"/>
        </w:rPr>
      </w:pPr>
    </w:p>
    <w:p w14:paraId="05716209" w14:textId="77777777" w:rsidR="007F19B9" w:rsidRPr="00AA2FF7" w:rsidRDefault="007F19B9" w:rsidP="00B37F59">
      <w:pPr>
        <w:rPr>
          <w:rFonts w:ascii="Arial" w:hAnsi="Arial" w:cs="Arial"/>
        </w:rPr>
      </w:pPr>
      <w:r w:rsidRPr="00AA2FF7">
        <w:rPr>
          <w:rFonts w:ascii="Arial" w:hAnsi="Arial" w:cs="Arial"/>
        </w:rPr>
        <w:t>21. No development shall commence until a detailed assessment of, and scheme to mitigate, the effects of 1 in 100 year storm events, with an additional allowance for climate change, exceedance events and blockage scenarios on drainage infrastructure and surface water run-off, pre and post development between the development and the surrounding area, in all directions has been submitted to and approved in writing by the Local Planning Authority. No part of the development shall be brought into use until the works comprising the approved scheme have been completed. The approved scheme shall be retained permanently thereafter.</w:t>
      </w:r>
    </w:p>
    <w:p w14:paraId="69CAAB8A" w14:textId="53E70B1A" w:rsidR="007F19B9" w:rsidRPr="00AA2FF7" w:rsidRDefault="007F19B9" w:rsidP="00B37F59">
      <w:pPr>
        <w:rPr>
          <w:rFonts w:ascii="Arial" w:hAnsi="Arial" w:cs="Arial"/>
        </w:rPr>
      </w:pPr>
      <w:r w:rsidRPr="00AA2FF7">
        <w:rPr>
          <w:rFonts w:ascii="Arial" w:hAnsi="Arial" w:cs="Arial"/>
          <w:b/>
        </w:rPr>
        <w:t xml:space="preserve">Reason: </w:t>
      </w:r>
      <w:r w:rsidRPr="00AA2FF7">
        <w:rPr>
          <w:rFonts w:ascii="Arial" w:hAnsi="Arial" w:cs="Arial"/>
        </w:rPr>
        <w:t>In the interest of the satisfactory drainage of the site, and to accord with Policy LP28 of the Kirklees Local Plan.</w:t>
      </w:r>
    </w:p>
    <w:p w14:paraId="1F23B6C9" w14:textId="77777777" w:rsidR="007F19B9" w:rsidRPr="00AA2FF7" w:rsidRDefault="007F19B9" w:rsidP="00B37F59">
      <w:pPr>
        <w:rPr>
          <w:rFonts w:ascii="Arial" w:hAnsi="Arial" w:cs="Arial"/>
        </w:rPr>
      </w:pPr>
      <w:r w:rsidRPr="00AA2FF7">
        <w:rPr>
          <w:rFonts w:ascii="Arial" w:hAnsi="Arial" w:cs="Arial"/>
        </w:rPr>
        <w:t xml:space="preserve"> </w:t>
      </w:r>
    </w:p>
    <w:p w14:paraId="3827F4D8" w14:textId="75C1A6C8" w:rsidR="007F19B9" w:rsidRPr="00AA2FF7" w:rsidRDefault="007F19B9" w:rsidP="00B37F59">
      <w:pPr>
        <w:rPr>
          <w:rFonts w:ascii="Arial" w:hAnsi="Arial" w:cs="Arial"/>
          <w:b/>
          <w:u w:val="single"/>
        </w:rPr>
      </w:pPr>
      <w:r w:rsidRPr="00AA2FF7">
        <w:rPr>
          <w:rFonts w:ascii="Arial" w:hAnsi="Arial" w:cs="Arial"/>
          <w:b/>
          <w:u w:val="single"/>
        </w:rPr>
        <w:t>Footnote pursuant to Condition 5</w:t>
      </w:r>
    </w:p>
    <w:p w14:paraId="212839E6" w14:textId="77777777" w:rsidR="00AA2FF7" w:rsidRPr="00AA2FF7" w:rsidRDefault="00AA2FF7" w:rsidP="00B37F59">
      <w:pPr>
        <w:rPr>
          <w:rFonts w:ascii="Arial" w:hAnsi="Arial" w:cs="Arial"/>
          <w:b/>
          <w:u w:val="single"/>
        </w:rPr>
      </w:pPr>
    </w:p>
    <w:p w14:paraId="6FE8C24E" w14:textId="77777777" w:rsidR="007F19B9" w:rsidRPr="00AA2FF7" w:rsidRDefault="007F19B9" w:rsidP="00B37F59">
      <w:pPr>
        <w:rPr>
          <w:rFonts w:ascii="Arial" w:hAnsi="Arial" w:cs="Arial"/>
        </w:rPr>
      </w:pPr>
      <w:r w:rsidRPr="00AA2FF7">
        <w:rPr>
          <w:rFonts w:ascii="Arial" w:hAnsi="Arial" w:cs="Arial"/>
        </w:rPr>
        <w:t>The granting of planning permission does not authorise the carrying out of works within the highway, for which the written permission of the Council as Highway Authority is required. You are required to consult the Design Engineer (Kirklees Street Scene: 01484 221000) with regard to obtaining this permission and approval of the construction specification. Please also note that the construction of vehicle crossings within the highway is deemed to be major works for the purposes of the New Roads and Street Works Act 1991 (Section 84 and 85). Interference with the highway without such permission is an offence which could lead to prosecution.</w:t>
      </w:r>
    </w:p>
    <w:p w14:paraId="4F73213F" w14:textId="02CA9A66" w:rsidR="007F19B9" w:rsidRPr="00AA2FF7" w:rsidRDefault="009D31B8" w:rsidP="00B37F59">
      <w:pPr>
        <w:rPr>
          <w:rFonts w:ascii="Arial" w:hAnsi="Arial" w:cs="Arial"/>
        </w:rPr>
      </w:pPr>
      <w:r>
        <w:rPr>
          <w:rFonts w:ascii="Arial" w:hAnsi="Arial" w:cs="Arial"/>
        </w:rPr>
        <w:br w:type="page"/>
      </w:r>
    </w:p>
    <w:p w14:paraId="0ECF51EB" w14:textId="3F58CC44" w:rsidR="007F19B9" w:rsidRPr="00AA2FF7" w:rsidRDefault="007F19B9" w:rsidP="00B37F59">
      <w:pPr>
        <w:rPr>
          <w:rFonts w:ascii="Arial" w:hAnsi="Arial" w:cs="Arial"/>
          <w:u w:val="single"/>
        </w:rPr>
      </w:pPr>
      <w:r w:rsidRPr="00AA2FF7">
        <w:rPr>
          <w:rFonts w:ascii="Arial" w:hAnsi="Arial" w:cs="Arial"/>
          <w:b/>
          <w:u w:val="single"/>
        </w:rPr>
        <w:t>Footnote pursuant to Condition 5</w:t>
      </w:r>
      <w:r w:rsidRPr="00AA2FF7">
        <w:rPr>
          <w:rFonts w:ascii="Arial" w:hAnsi="Arial" w:cs="Arial"/>
          <w:u w:val="single"/>
        </w:rPr>
        <w:t xml:space="preserve">: </w:t>
      </w:r>
      <w:r w:rsidRPr="00AA2FF7">
        <w:rPr>
          <w:rFonts w:ascii="Arial" w:hAnsi="Arial" w:cs="Arial"/>
          <w:b/>
          <w:u w:val="single"/>
        </w:rPr>
        <w:t>Adoption under Section 38 of the Highways Act</w:t>
      </w:r>
    </w:p>
    <w:p w14:paraId="4CA11E99" w14:textId="77777777" w:rsidR="00AA2FF7" w:rsidRPr="00AA2FF7" w:rsidRDefault="00AA2FF7" w:rsidP="00B37F59">
      <w:pPr>
        <w:rPr>
          <w:rFonts w:ascii="Arial" w:hAnsi="Arial" w:cs="Arial"/>
          <w:u w:val="single"/>
        </w:rPr>
      </w:pPr>
    </w:p>
    <w:p w14:paraId="42866AA7" w14:textId="77777777" w:rsidR="007F19B9" w:rsidRPr="00AA2FF7" w:rsidRDefault="007F19B9" w:rsidP="00B37F59">
      <w:pPr>
        <w:rPr>
          <w:rFonts w:ascii="Arial" w:hAnsi="Arial" w:cs="Arial"/>
        </w:rPr>
      </w:pPr>
      <w:r w:rsidRPr="00AA2FF7">
        <w:rPr>
          <w:rFonts w:ascii="Arial" w:hAnsi="Arial" w:cs="Arial"/>
        </w:rPr>
        <w:t>It is brought to the Applicants’ notice that the Highway Development, Investment &amp; Regeneration, Civic Centre 3, Market Street, Huddersfield HD1 2JR (Kirklees Street Care: 0800 7318765 or ‘Highways.Section38@kirklees.gov.uk’) must be contacted to discuss road adoption arrangements under Section 38 of the Highways Act 1980.</w:t>
      </w:r>
    </w:p>
    <w:p w14:paraId="495D969A" w14:textId="77777777" w:rsidR="00AA2FF7" w:rsidRPr="00AA2FF7" w:rsidRDefault="00AA2FF7" w:rsidP="00B37F59">
      <w:pPr>
        <w:rPr>
          <w:rFonts w:ascii="Arial" w:hAnsi="Arial" w:cs="Arial"/>
        </w:rPr>
      </w:pPr>
    </w:p>
    <w:p w14:paraId="271B8DD0" w14:textId="26675ED3" w:rsidR="007F19B9" w:rsidRPr="00AA2FF7" w:rsidRDefault="007F19B9" w:rsidP="00B37F59">
      <w:pPr>
        <w:rPr>
          <w:rFonts w:ascii="Arial" w:hAnsi="Arial" w:cs="Arial"/>
          <w:b/>
          <w:u w:val="single"/>
        </w:rPr>
      </w:pPr>
      <w:r w:rsidRPr="00AA2FF7">
        <w:rPr>
          <w:rFonts w:ascii="Arial" w:hAnsi="Arial" w:cs="Arial"/>
          <w:b/>
          <w:u w:val="single"/>
        </w:rPr>
        <w:t>Footnote pursuant to Condition 9</w:t>
      </w:r>
      <w:r w:rsidRPr="00AA2FF7">
        <w:rPr>
          <w:rFonts w:ascii="Arial" w:hAnsi="Arial" w:cs="Arial"/>
          <w:u w:val="single"/>
        </w:rPr>
        <w:t xml:space="preserve"> </w:t>
      </w:r>
      <w:r w:rsidRPr="00AA2FF7">
        <w:rPr>
          <w:rFonts w:ascii="Arial" w:hAnsi="Arial" w:cs="Arial"/>
          <w:b/>
          <w:u w:val="single"/>
        </w:rPr>
        <w:t>(PROW)</w:t>
      </w:r>
    </w:p>
    <w:p w14:paraId="66AD8610" w14:textId="77777777" w:rsidR="00AA2FF7" w:rsidRPr="00AA2FF7" w:rsidRDefault="00AA2FF7" w:rsidP="00B37F59">
      <w:pPr>
        <w:rPr>
          <w:rFonts w:ascii="Arial" w:hAnsi="Arial" w:cs="Arial"/>
          <w:u w:val="single"/>
        </w:rPr>
      </w:pPr>
    </w:p>
    <w:p w14:paraId="671C1DBB" w14:textId="77777777" w:rsidR="007F19B9" w:rsidRPr="00AA2FF7" w:rsidRDefault="007F19B9" w:rsidP="00B37F59">
      <w:pPr>
        <w:rPr>
          <w:rFonts w:ascii="Arial" w:hAnsi="Arial" w:cs="Arial"/>
        </w:rPr>
      </w:pPr>
      <w:r w:rsidRPr="00AA2FF7">
        <w:rPr>
          <w:rFonts w:ascii="Arial" w:hAnsi="Arial" w:cs="Arial"/>
        </w:rPr>
        <w:t>The public footpaths ( HUD/184/10 and HUD/185/10)) which  abut the site shall not, at any time, prior to, during or after construction of the dwelling, be unofficially obstructed or closed without prior written consent of the Local Planning Authority.</w:t>
      </w:r>
    </w:p>
    <w:p w14:paraId="3CAD7F7A" w14:textId="77777777" w:rsidR="007F19B9" w:rsidRPr="00AA2FF7" w:rsidRDefault="007F19B9" w:rsidP="00B37F59">
      <w:pPr>
        <w:rPr>
          <w:rFonts w:ascii="Arial" w:hAnsi="Arial" w:cs="Arial"/>
        </w:rPr>
      </w:pPr>
    </w:p>
    <w:p w14:paraId="67003E6A" w14:textId="520FA1F5" w:rsidR="007F19B9" w:rsidRPr="00AA2FF7" w:rsidRDefault="007F19B9" w:rsidP="00B37F59">
      <w:pPr>
        <w:pStyle w:val="Default"/>
        <w:rPr>
          <w:b/>
          <w:u w:val="single"/>
        </w:rPr>
      </w:pPr>
      <w:r w:rsidRPr="00AA2FF7">
        <w:rPr>
          <w:b/>
          <w:u w:val="single"/>
        </w:rPr>
        <w:t>Footnote pursuant to Conditions 11-16</w:t>
      </w:r>
    </w:p>
    <w:p w14:paraId="3CC52346" w14:textId="77777777" w:rsidR="00AA2FF7" w:rsidRPr="00AA2FF7" w:rsidRDefault="00AA2FF7" w:rsidP="00B37F59">
      <w:pPr>
        <w:pStyle w:val="Default"/>
        <w:rPr>
          <w:b/>
          <w:u w:val="single"/>
        </w:rPr>
      </w:pPr>
    </w:p>
    <w:p w14:paraId="0F675336" w14:textId="77777777" w:rsidR="007F19B9" w:rsidRPr="00AA2FF7" w:rsidRDefault="007F19B9" w:rsidP="00B37F59">
      <w:pPr>
        <w:pStyle w:val="Default"/>
      </w:pPr>
      <w:r w:rsidRPr="00AA2FF7">
        <w:t xml:space="preserve">All contamination reports shall be prepared in accordance with </w:t>
      </w:r>
      <w:r w:rsidRPr="00AA2FF7">
        <w:rPr>
          <w:i/>
          <w:iCs/>
        </w:rPr>
        <w:t xml:space="preserve">Model Procedures for the Management of Land Contamination – Contaminated Land report 11 </w:t>
      </w:r>
      <w:r w:rsidRPr="00AA2FF7">
        <w:t xml:space="preserve">(CLR11), National Planning Policy Framework (NPPF) and the Council’s Advice for Development documents or any subsequent revisions of those documents. </w:t>
      </w:r>
    </w:p>
    <w:p w14:paraId="13F134FF" w14:textId="46973032" w:rsidR="007F19B9" w:rsidRPr="00AA2FF7" w:rsidRDefault="007F19B9" w:rsidP="00B37F59">
      <w:pPr>
        <w:pStyle w:val="Default"/>
      </w:pPr>
      <w:r w:rsidRPr="00AA2FF7">
        <w:t xml:space="preserve"> </w:t>
      </w:r>
    </w:p>
    <w:p w14:paraId="532D6B27" w14:textId="77777777" w:rsidR="007F19B9" w:rsidRPr="00AA2FF7" w:rsidRDefault="007F19B9" w:rsidP="00B37F59">
      <w:pPr>
        <w:pStyle w:val="Default"/>
      </w:pPr>
      <w:r w:rsidRPr="00AA2FF7">
        <w:t>Plans and specifications schedule:-</w:t>
      </w:r>
    </w:p>
    <w:p w14:paraId="10748CF7" w14:textId="77777777" w:rsidR="007F19B9" w:rsidRPr="00AA2FF7" w:rsidRDefault="007F19B9" w:rsidP="001C7817">
      <w:pPr>
        <w:pStyle w:val="NoSpacing"/>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762"/>
        <w:gridCol w:w="1356"/>
        <w:gridCol w:w="2081"/>
      </w:tblGrid>
      <w:tr w:rsidR="007F19B9" w:rsidRPr="00AA2FF7" w14:paraId="7F8D8EE8" w14:textId="77777777" w:rsidTr="007F19B9">
        <w:trPr>
          <w:tblHeader/>
        </w:trPr>
        <w:tc>
          <w:tcPr>
            <w:tcW w:w="3369" w:type="dxa"/>
            <w:tcBorders>
              <w:top w:val="single" w:sz="4" w:space="0" w:color="auto"/>
              <w:left w:val="single" w:sz="4" w:space="0" w:color="auto"/>
              <w:bottom w:val="single" w:sz="4" w:space="0" w:color="auto"/>
              <w:right w:val="single" w:sz="4" w:space="0" w:color="auto"/>
            </w:tcBorders>
            <w:hideMark/>
          </w:tcPr>
          <w:p w14:paraId="62509261" w14:textId="77777777" w:rsidR="007F19B9" w:rsidRPr="00AA2FF7" w:rsidRDefault="007F19B9" w:rsidP="004F00D4">
            <w:pPr>
              <w:pStyle w:val="NoSpacing"/>
              <w:rPr>
                <w:b/>
              </w:rPr>
            </w:pPr>
            <w:r w:rsidRPr="00AA2FF7">
              <w:rPr>
                <w:b/>
              </w:rPr>
              <w:t>Plan Type</w:t>
            </w:r>
          </w:p>
        </w:tc>
        <w:tc>
          <w:tcPr>
            <w:tcW w:w="1762" w:type="dxa"/>
            <w:tcBorders>
              <w:top w:val="single" w:sz="4" w:space="0" w:color="auto"/>
              <w:left w:val="single" w:sz="4" w:space="0" w:color="auto"/>
              <w:bottom w:val="single" w:sz="4" w:space="0" w:color="auto"/>
              <w:right w:val="single" w:sz="4" w:space="0" w:color="auto"/>
            </w:tcBorders>
            <w:hideMark/>
          </w:tcPr>
          <w:p w14:paraId="480C8B59" w14:textId="77777777" w:rsidR="007F19B9" w:rsidRPr="00AA2FF7" w:rsidRDefault="007F19B9" w:rsidP="004F00D4">
            <w:pPr>
              <w:pStyle w:val="NoSpacing"/>
              <w:rPr>
                <w:b/>
              </w:rPr>
            </w:pPr>
            <w:r w:rsidRPr="00AA2FF7">
              <w:rPr>
                <w:b/>
              </w:rPr>
              <w:t>Reference</w:t>
            </w:r>
          </w:p>
        </w:tc>
        <w:tc>
          <w:tcPr>
            <w:tcW w:w="1356" w:type="dxa"/>
            <w:tcBorders>
              <w:top w:val="single" w:sz="4" w:space="0" w:color="auto"/>
              <w:left w:val="single" w:sz="4" w:space="0" w:color="auto"/>
              <w:bottom w:val="single" w:sz="4" w:space="0" w:color="auto"/>
              <w:right w:val="single" w:sz="4" w:space="0" w:color="auto"/>
            </w:tcBorders>
            <w:hideMark/>
          </w:tcPr>
          <w:p w14:paraId="244AB5B1" w14:textId="77777777" w:rsidR="007F19B9" w:rsidRPr="00AA2FF7" w:rsidRDefault="007F19B9" w:rsidP="004F00D4">
            <w:pPr>
              <w:pStyle w:val="NoSpacing"/>
              <w:rPr>
                <w:b/>
              </w:rPr>
            </w:pPr>
            <w:r w:rsidRPr="00AA2FF7">
              <w:rPr>
                <w:b/>
              </w:rPr>
              <w:t>Version</w:t>
            </w:r>
          </w:p>
        </w:tc>
        <w:tc>
          <w:tcPr>
            <w:tcW w:w="2081" w:type="dxa"/>
            <w:tcBorders>
              <w:top w:val="single" w:sz="4" w:space="0" w:color="auto"/>
              <w:left w:val="single" w:sz="4" w:space="0" w:color="auto"/>
              <w:bottom w:val="single" w:sz="4" w:space="0" w:color="auto"/>
              <w:right w:val="single" w:sz="4" w:space="0" w:color="auto"/>
            </w:tcBorders>
            <w:hideMark/>
          </w:tcPr>
          <w:p w14:paraId="61291167" w14:textId="77777777" w:rsidR="007F19B9" w:rsidRPr="00AA2FF7" w:rsidRDefault="007F19B9" w:rsidP="004F00D4">
            <w:pPr>
              <w:pStyle w:val="NoSpacing"/>
              <w:rPr>
                <w:b/>
              </w:rPr>
            </w:pPr>
            <w:r w:rsidRPr="00AA2FF7">
              <w:rPr>
                <w:b/>
              </w:rPr>
              <w:t>Date Received</w:t>
            </w:r>
          </w:p>
        </w:tc>
      </w:tr>
      <w:tr w:rsidR="007F19B9" w:rsidRPr="00AA2FF7" w14:paraId="76059E6A" w14:textId="77777777" w:rsidTr="007F19B9">
        <w:tc>
          <w:tcPr>
            <w:tcW w:w="3369" w:type="dxa"/>
            <w:tcBorders>
              <w:top w:val="single" w:sz="4" w:space="0" w:color="auto"/>
              <w:left w:val="single" w:sz="4" w:space="0" w:color="auto"/>
              <w:bottom w:val="single" w:sz="4" w:space="0" w:color="auto"/>
              <w:right w:val="single" w:sz="4" w:space="0" w:color="auto"/>
            </w:tcBorders>
          </w:tcPr>
          <w:p w14:paraId="74B04919" w14:textId="77777777" w:rsidR="007F19B9" w:rsidRPr="00AA2FF7" w:rsidRDefault="007F19B9" w:rsidP="004F00D4">
            <w:pPr>
              <w:pStyle w:val="NoSpacing"/>
            </w:pPr>
            <w:r w:rsidRPr="00AA2FF7">
              <w:t>Design and Access Statement</w:t>
            </w:r>
          </w:p>
        </w:tc>
        <w:tc>
          <w:tcPr>
            <w:tcW w:w="1762" w:type="dxa"/>
            <w:tcBorders>
              <w:top w:val="single" w:sz="4" w:space="0" w:color="auto"/>
              <w:left w:val="single" w:sz="4" w:space="0" w:color="auto"/>
              <w:bottom w:val="single" w:sz="4" w:space="0" w:color="auto"/>
              <w:right w:val="single" w:sz="4" w:space="0" w:color="auto"/>
            </w:tcBorders>
          </w:tcPr>
          <w:p w14:paraId="29F136CD" w14:textId="77777777" w:rsidR="007F19B9" w:rsidRPr="00AA2FF7" w:rsidRDefault="007F19B9" w:rsidP="004F00D4">
            <w:pPr>
              <w:pStyle w:val="NoSpacing"/>
            </w:pPr>
          </w:p>
        </w:tc>
        <w:tc>
          <w:tcPr>
            <w:tcW w:w="1356" w:type="dxa"/>
            <w:tcBorders>
              <w:top w:val="single" w:sz="4" w:space="0" w:color="auto"/>
              <w:left w:val="single" w:sz="4" w:space="0" w:color="auto"/>
              <w:bottom w:val="single" w:sz="4" w:space="0" w:color="auto"/>
              <w:right w:val="single" w:sz="4" w:space="0" w:color="auto"/>
            </w:tcBorders>
          </w:tcPr>
          <w:p w14:paraId="25D00D8C" w14:textId="77777777" w:rsidR="007F19B9" w:rsidRPr="00AA2FF7" w:rsidRDefault="007F19B9" w:rsidP="004F00D4">
            <w:pPr>
              <w:pStyle w:val="NoSpacing"/>
            </w:pPr>
          </w:p>
        </w:tc>
        <w:tc>
          <w:tcPr>
            <w:tcW w:w="2081" w:type="dxa"/>
            <w:tcBorders>
              <w:top w:val="single" w:sz="4" w:space="0" w:color="auto"/>
              <w:left w:val="single" w:sz="4" w:space="0" w:color="auto"/>
              <w:bottom w:val="single" w:sz="4" w:space="0" w:color="auto"/>
              <w:right w:val="single" w:sz="4" w:space="0" w:color="auto"/>
            </w:tcBorders>
          </w:tcPr>
          <w:p w14:paraId="39A47ABE" w14:textId="77777777" w:rsidR="007F19B9" w:rsidRPr="00AA2FF7" w:rsidRDefault="007F19B9" w:rsidP="004F00D4">
            <w:pPr>
              <w:pStyle w:val="NoSpacing"/>
            </w:pPr>
            <w:r w:rsidRPr="00AA2FF7">
              <w:t xml:space="preserve"> 15/8/19</w:t>
            </w:r>
          </w:p>
        </w:tc>
      </w:tr>
      <w:tr w:rsidR="007F19B9" w:rsidRPr="00AA2FF7" w14:paraId="1E892764" w14:textId="77777777" w:rsidTr="007F19B9">
        <w:tc>
          <w:tcPr>
            <w:tcW w:w="3369" w:type="dxa"/>
            <w:tcBorders>
              <w:top w:val="single" w:sz="4" w:space="0" w:color="auto"/>
              <w:left w:val="single" w:sz="4" w:space="0" w:color="auto"/>
              <w:bottom w:val="single" w:sz="4" w:space="0" w:color="auto"/>
              <w:right w:val="single" w:sz="4" w:space="0" w:color="auto"/>
            </w:tcBorders>
          </w:tcPr>
          <w:p w14:paraId="509B4F14" w14:textId="77777777" w:rsidR="007F19B9" w:rsidRPr="00AA2FF7" w:rsidRDefault="007F19B9" w:rsidP="004F00D4">
            <w:pPr>
              <w:pStyle w:val="NoSpacing"/>
            </w:pPr>
            <w:r w:rsidRPr="00AA2FF7">
              <w:t>Conservation/Heritage Statement</w:t>
            </w:r>
          </w:p>
        </w:tc>
        <w:tc>
          <w:tcPr>
            <w:tcW w:w="1762" w:type="dxa"/>
            <w:tcBorders>
              <w:top w:val="single" w:sz="4" w:space="0" w:color="auto"/>
              <w:left w:val="single" w:sz="4" w:space="0" w:color="auto"/>
              <w:bottom w:val="single" w:sz="4" w:space="0" w:color="auto"/>
              <w:right w:val="single" w:sz="4" w:space="0" w:color="auto"/>
            </w:tcBorders>
          </w:tcPr>
          <w:p w14:paraId="713594CB" w14:textId="77777777" w:rsidR="007F19B9" w:rsidRPr="00AA2FF7" w:rsidRDefault="007F19B9" w:rsidP="004F00D4">
            <w:pPr>
              <w:pStyle w:val="NoSpacing"/>
            </w:pPr>
          </w:p>
        </w:tc>
        <w:tc>
          <w:tcPr>
            <w:tcW w:w="1356" w:type="dxa"/>
            <w:tcBorders>
              <w:top w:val="single" w:sz="4" w:space="0" w:color="auto"/>
              <w:left w:val="single" w:sz="4" w:space="0" w:color="auto"/>
              <w:bottom w:val="single" w:sz="4" w:space="0" w:color="auto"/>
              <w:right w:val="single" w:sz="4" w:space="0" w:color="auto"/>
            </w:tcBorders>
          </w:tcPr>
          <w:p w14:paraId="2F9A2A7B" w14:textId="77777777" w:rsidR="007F19B9" w:rsidRPr="00AA2FF7" w:rsidRDefault="007F19B9" w:rsidP="004F00D4">
            <w:pPr>
              <w:pStyle w:val="NoSpacing"/>
            </w:pPr>
          </w:p>
        </w:tc>
        <w:tc>
          <w:tcPr>
            <w:tcW w:w="2081" w:type="dxa"/>
            <w:tcBorders>
              <w:top w:val="single" w:sz="4" w:space="0" w:color="auto"/>
              <w:left w:val="single" w:sz="4" w:space="0" w:color="auto"/>
              <w:bottom w:val="single" w:sz="4" w:space="0" w:color="auto"/>
              <w:right w:val="single" w:sz="4" w:space="0" w:color="auto"/>
            </w:tcBorders>
          </w:tcPr>
          <w:p w14:paraId="485C788A" w14:textId="77777777" w:rsidR="007F19B9" w:rsidRPr="00AA2FF7" w:rsidRDefault="007F19B9" w:rsidP="004F00D4">
            <w:pPr>
              <w:pStyle w:val="NoSpacing"/>
            </w:pPr>
            <w:r w:rsidRPr="00AA2FF7">
              <w:t xml:space="preserve"> 15/8/19</w:t>
            </w:r>
          </w:p>
        </w:tc>
      </w:tr>
      <w:tr w:rsidR="007F19B9" w:rsidRPr="00AA2FF7" w14:paraId="49934A43" w14:textId="77777777" w:rsidTr="007F19B9">
        <w:tc>
          <w:tcPr>
            <w:tcW w:w="3369" w:type="dxa"/>
            <w:tcBorders>
              <w:top w:val="single" w:sz="4" w:space="0" w:color="auto"/>
              <w:left w:val="single" w:sz="4" w:space="0" w:color="auto"/>
              <w:bottom w:val="single" w:sz="4" w:space="0" w:color="auto"/>
              <w:right w:val="single" w:sz="4" w:space="0" w:color="auto"/>
            </w:tcBorders>
          </w:tcPr>
          <w:p w14:paraId="0EB8F854" w14:textId="77777777" w:rsidR="007F19B9" w:rsidRPr="00AA2FF7" w:rsidRDefault="007F19B9" w:rsidP="004F00D4">
            <w:pPr>
              <w:pStyle w:val="NoSpacing"/>
            </w:pPr>
            <w:r w:rsidRPr="00AA2FF7">
              <w:t>Site Plan</w:t>
            </w:r>
          </w:p>
        </w:tc>
        <w:tc>
          <w:tcPr>
            <w:tcW w:w="1762" w:type="dxa"/>
            <w:tcBorders>
              <w:top w:val="single" w:sz="4" w:space="0" w:color="auto"/>
              <w:left w:val="single" w:sz="4" w:space="0" w:color="auto"/>
              <w:bottom w:val="single" w:sz="4" w:space="0" w:color="auto"/>
              <w:right w:val="single" w:sz="4" w:space="0" w:color="auto"/>
            </w:tcBorders>
          </w:tcPr>
          <w:p w14:paraId="691B6F8D" w14:textId="77777777" w:rsidR="007F19B9" w:rsidRPr="00AA2FF7" w:rsidRDefault="007F19B9" w:rsidP="004F00D4">
            <w:pPr>
              <w:pStyle w:val="NoSpacing"/>
            </w:pPr>
          </w:p>
        </w:tc>
        <w:tc>
          <w:tcPr>
            <w:tcW w:w="1356" w:type="dxa"/>
            <w:tcBorders>
              <w:top w:val="single" w:sz="4" w:space="0" w:color="auto"/>
              <w:left w:val="single" w:sz="4" w:space="0" w:color="auto"/>
              <w:bottom w:val="single" w:sz="4" w:space="0" w:color="auto"/>
              <w:right w:val="single" w:sz="4" w:space="0" w:color="auto"/>
            </w:tcBorders>
          </w:tcPr>
          <w:p w14:paraId="5C936789" w14:textId="77777777" w:rsidR="007F19B9" w:rsidRPr="00AA2FF7" w:rsidRDefault="007F19B9" w:rsidP="004F00D4">
            <w:pPr>
              <w:pStyle w:val="NoSpacing"/>
            </w:pPr>
          </w:p>
        </w:tc>
        <w:tc>
          <w:tcPr>
            <w:tcW w:w="2081" w:type="dxa"/>
            <w:tcBorders>
              <w:top w:val="single" w:sz="4" w:space="0" w:color="auto"/>
              <w:left w:val="single" w:sz="4" w:space="0" w:color="auto"/>
              <w:bottom w:val="single" w:sz="4" w:space="0" w:color="auto"/>
              <w:right w:val="single" w:sz="4" w:space="0" w:color="auto"/>
            </w:tcBorders>
          </w:tcPr>
          <w:p w14:paraId="1DF7E184" w14:textId="77777777" w:rsidR="007F19B9" w:rsidRPr="00AA2FF7" w:rsidRDefault="007F19B9" w:rsidP="004F00D4">
            <w:pPr>
              <w:pStyle w:val="NoSpacing"/>
            </w:pPr>
            <w:r w:rsidRPr="00AA2FF7">
              <w:t>15/8/19</w:t>
            </w:r>
          </w:p>
        </w:tc>
      </w:tr>
      <w:tr w:rsidR="007F19B9" w:rsidRPr="00AA2FF7" w14:paraId="2FEE2E93" w14:textId="77777777" w:rsidTr="007F19B9">
        <w:tc>
          <w:tcPr>
            <w:tcW w:w="3369" w:type="dxa"/>
            <w:tcBorders>
              <w:top w:val="single" w:sz="4" w:space="0" w:color="auto"/>
              <w:left w:val="single" w:sz="4" w:space="0" w:color="auto"/>
              <w:bottom w:val="single" w:sz="4" w:space="0" w:color="auto"/>
              <w:right w:val="single" w:sz="4" w:space="0" w:color="auto"/>
            </w:tcBorders>
          </w:tcPr>
          <w:p w14:paraId="3294C6DB" w14:textId="77777777" w:rsidR="007F19B9" w:rsidRPr="00AA2FF7" w:rsidRDefault="007F19B9" w:rsidP="004F00D4">
            <w:pPr>
              <w:pStyle w:val="NoSpacing"/>
            </w:pPr>
            <w:r w:rsidRPr="00AA2FF7">
              <w:t>Location Plan</w:t>
            </w:r>
          </w:p>
        </w:tc>
        <w:tc>
          <w:tcPr>
            <w:tcW w:w="1762" w:type="dxa"/>
            <w:tcBorders>
              <w:top w:val="single" w:sz="4" w:space="0" w:color="auto"/>
              <w:left w:val="single" w:sz="4" w:space="0" w:color="auto"/>
              <w:bottom w:val="single" w:sz="4" w:space="0" w:color="auto"/>
              <w:right w:val="single" w:sz="4" w:space="0" w:color="auto"/>
            </w:tcBorders>
          </w:tcPr>
          <w:p w14:paraId="109D8339" w14:textId="77777777" w:rsidR="007F19B9" w:rsidRPr="00AA2FF7" w:rsidRDefault="007F19B9" w:rsidP="004F00D4">
            <w:pPr>
              <w:pStyle w:val="NoSpacing"/>
            </w:pPr>
            <w:r w:rsidRPr="00AA2FF7">
              <w:t>2968.-2.241</w:t>
            </w:r>
          </w:p>
        </w:tc>
        <w:tc>
          <w:tcPr>
            <w:tcW w:w="1356" w:type="dxa"/>
            <w:tcBorders>
              <w:top w:val="single" w:sz="4" w:space="0" w:color="auto"/>
              <w:left w:val="single" w:sz="4" w:space="0" w:color="auto"/>
              <w:bottom w:val="single" w:sz="4" w:space="0" w:color="auto"/>
              <w:right w:val="single" w:sz="4" w:space="0" w:color="auto"/>
            </w:tcBorders>
          </w:tcPr>
          <w:p w14:paraId="05BFD603" w14:textId="77777777" w:rsidR="007F19B9" w:rsidRPr="00AA2FF7" w:rsidRDefault="007F19B9" w:rsidP="004F00D4">
            <w:pPr>
              <w:pStyle w:val="NoSpacing"/>
            </w:pPr>
          </w:p>
        </w:tc>
        <w:tc>
          <w:tcPr>
            <w:tcW w:w="2081" w:type="dxa"/>
            <w:tcBorders>
              <w:top w:val="single" w:sz="4" w:space="0" w:color="auto"/>
              <w:left w:val="single" w:sz="4" w:space="0" w:color="auto"/>
              <w:bottom w:val="single" w:sz="4" w:space="0" w:color="auto"/>
              <w:right w:val="single" w:sz="4" w:space="0" w:color="auto"/>
            </w:tcBorders>
          </w:tcPr>
          <w:p w14:paraId="2B81DC53" w14:textId="77777777" w:rsidR="007F19B9" w:rsidRPr="00AA2FF7" w:rsidRDefault="007F19B9" w:rsidP="004F00D4">
            <w:pPr>
              <w:pStyle w:val="NoSpacing"/>
            </w:pPr>
            <w:r w:rsidRPr="00AA2FF7">
              <w:t>15/8/19</w:t>
            </w:r>
          </w:p>
        </w:tc>
      </w:tr>
      <w:tr w:rsidR="007F19B9" w:rsidRPr="00AA2FF7" w14:paraId="5DA57949" w14:textId="77777777" w:rsidTr="007F19B9">
        <w:tc>
          <w:tcPr>
            <w:tcW w:w="3369" w:type="dxa"/>
            <w:tcBorders>
              <w:top w:val="single" w:sz="4" w:space="0" w:color="auto"/>
              <w:left w:val="single" w:sz="4" w:space="0" w:color="auto"/>
              <w:bottom w:val="single" w:sz="4" w:space="0" w:color="auto"/>
              <w:right w:val="single" w:sz="4" w:space="0" w:color="auto"/>
            </w:tcBorders>
          </w:tcPr>
          <w:p w14:paraId="5F7D8FBF" w14:textId="77777777" w:rsidR="007F19B9" w:rsidRPr="00AA2FF7" w:rsidRDefault="007F19B9" w:rsidP="004F00D4">
            <w:pPr>
              <w:pStyle w:val="NoSpacing"/>
            </w:pPr>
            <w:r w:rsidRPr="00AA2FF7">
              <w:t>Site Block plan</w:t>
            </w:r>
          </w:p>
        </w:tc>
        <w:tc>
          <w:tcPr>
            <w:tcW w:w="1762" w:type="dxa"/>
            <w:tcBorders>
              <w:top w:val="single" w:sz="4" w:space="0" w:color="auto"/>
              <w:left w:val="single" w:sz="4" w:space="0" w:color="auto"/>
              <w:bottom w:val="single" w:sz="4" w:space="0" w:color="auto"/>
              <w:right w:val="single" w:sz="4" w:space="0" w:color="auto"/>
            </w:tcBorders>
          </w:tcPr>
          <w:p w14:paraId="6F008420" w14:textId="77777777" w:rsidR="007F19B9" w:rsidRPr="00AA2FF7" w:rsidRDefault="007F19B9" w:rsidP="004F00D4">
            <w:pPr>
              <w:pStyle w:val="NoSpacing"/>
            </w:pPr>
            <w:r w:rsidRPr="00AA2FF7">
              <w:t>2968.-2.241</w:t>
            </w:r>
          </w:p>
        </w:tc>
        <w:tc>
          <w:tcPr>
            <w:tcW w:w="1356" w:type="dxa"/>
            <w:tcBorders>
              <w:top w:val="single" w:sz="4" w:space="0" w:color="auto"/>
              <w:left w:val="single" w:sz="4" w:space="0" w:color="auto"/>
              <w:bottom w:val="single" w:sz="4" w:space="0" w:color="auto"/>
              <w:right w:val="single" w:sz="4" w:space="0" w:color="auto"/>
            </w:tcBorders>
          </w:tcPr>
          <w:p w14:paraId="01D9B57E" w14:textId="77777777" w:rsidR="007F19B9" w:rsidRPr="00AA2FF7" w:rsidRDefault="007F19B9" w:rsidP="004F00D4">
            <w:pPr>
              <w:pStyle w:val="NoSpacing"/>
            </w:pPr>
          </w:p>
        </w:tc>
        <w:tc>
          <w:tcPr>
            <w:tcW w:w="2081" w:type="dxa"/>
            <w:tcBorders>
              <w:top w:val="single" w:sz="4" w:space="0" w:color="auto"/>
              <w:left w:val="single" w:sz="4" w:space="0" w:color="auto"/>
              <w:bottom w:val="single" w:sz="4" w:space="0" w:color="auto"/>
              <w:right w:val="single" w:sz="4" w:space="0" w:color="auto"/>
            </w:tcBorders>
          </w:tcPr>
          <w:p w14:paraId="18144B9D" w14:textId="77777777" w:rsidR="007F19B9" w:rsidRPr="00AA2FF7" w:rsidRDefault="007F19B9" w:rsidP="004F00D4">
            <w:pPr>
              <w:pStyle w:val="NoSpacing"/>
            </w:pPr>
            <w:r w:rsidRPr="00AA2FF7">
              <w:t>15/8/19</w:t>
            </w:r>
          </w:p>
        </w:tc>
      </w:tr>
      <w:tr w:rsidR="007F19B9" w:rsidRPr="00AA2FF7" w14:paraId="088324EC" w14:textId="77777777" w:rsidTr="007F19B9">
        <w:tc>
          <w:tcPr>
            <w:tcW w:w="3369" w:type="dxa"/>
            <w:tcBorders>
              <w:top w:val="single" w:sz="4" w:space="0" w:color="auto"/>
              <w:left w:val="single" w:sz="4" w:space="0" w:color="auto"/>
              <w:bottom w:val="single" w:sz="4" w:space="0" w:color="auto"/>
              <w:right w:val="single" w:sz="4" w:space="0" w:color="auto"/>
            </w:tcBorders>
          </w:tcPr>
          <w:p w14:paraId="302ADFA7" w14:textId="77777777" w:rsidR="007F19B9" w:rsidRPr="00AA2FF7" w:rsidRDefault="007F19B9" w:rsidP="004F00D4">
            <w:pPr>
              <w:pStyle w:val="NoSpacing"/>
            </w:pPr>
            <w:r w:rsidRPr="00AA2FF7">
              <w:t>Ground floor plans</w:t>
            </w:r>
          </w:p>
        </w:tc>
        <w:tc>
          <w:tcPr>
            <w:tcW w:w="1762" w:type="dxa"/>
            <w:tcBorders>
              <w:top w:val="single" w:sz="4" w:space="0" w:color="auto"/>
              <w:left w:val="single" w:sz="4" w:space="0" w:color="auto"/>
              <w:bottom w:val="single" w:sz="4" w:space="0" w:color="auto"/>
              <w:right w:val="single" w:sz="4" w:space="0" w:color="auto"/>
            </w:tcBorders>
          </w:tcPr>
          <w:p w14:paraId="77D2E65A" w14:textId="77777777" w:rsidR="007F19B9" w:rsidRPr="00AA2FF7" w:rsidRDefault="007F19B9" w:rsidP="004F00D4">
            <w:pPr>
              <w:pStyle w:val="NoSpacing"/>
            </w:pPr>
            <w:r w:rsidRPr="00AA2FF7">
              <w:t>2968-2.241</w:t>
            </w:r>
          </w:p>
        </w:tc>
        <w:tc>
          <w:tcPr>
            <w:tcW w:w="1356" w:type="dxa"/>
            <w:tcBorders>
              <w:top w:val="single" w:sz="4" w:space="0" w:color="auto"/>
              <w:left w:val="single" w:sz="4" w:space="0" w:color="auto"/>
              <w:bottom w:val="single" w:sz="4" w:space="0" w:color="auto"/>
              <w:right w:val="single" w:sz="4" w:space="0" w:color="auto"/>
            </w:tcBorders>
          </w:tcPr>
          <w:p w14:paraId="70DBFEFB" w14:textId="77777777" w:rsidR="007F19B9" w:rsidRPr="00AA2FF7" w:rsidRDefault="007F19B9" w:rsidP="004F00D4">
            <w:pPr>
              <w:pStyle w:val="NoSpacing"/>
            </w:pPr>
            <w:r w:rsidRPr="00AA2FF7">
              <w:t>1</w:t>
            </w:r>
          </w:p>
        </w:tc>
        <w:tc>
          <w:tcPr>
            <w:tcW w:w="2081" w:type="dxa"/>
            <w:tcBorders>
              <w:top w:val="single" w:sz="4" w:space="0" w:color="auto"/>
              <w:left w:val="single" w:sz="4" w:space="0" w:color="auto"/>
              <w:bottom w:val="single" w:sz="4" w:space="0" w:color="auto"/>
              <w:right w:val="single" w:sz="4" w:space="0" w:color="auto"/>
            </w:tcBorders>
          </w:tcPr>
          <w:p w14:paraId="42D1DFCA" w14:textId="77777777" w:rsidR="007F19B9" w:rsidRPr="00AA2FF7" w:rsidRDefault="007F19B9" w:rsidP="004F00D4">
            <w:pPr>
              <w:pStyle w:val="NoSpacing"/>
            </w:pPr>
            <w:r w:rsidRPr="00AA2FF7">
              <w:t>15/8/19</w:t>
            </w:r>
          </w:p>
        </w:tc>
      </w:tr>
      <w:tr w:rsidR="007F19B9" w:rsidRPr="00AA2FF7" w14:paraId="7603E867" w14:textId="77777777" w:rsidTr="007F19B9">
        <w:tc>
          <w:tcPr>
            <w:tcW w:w="3369" w:type="dxa"/>
            <w:tcBorders>
              <w:top w:val="single" w:sz="4" w:space="0" w:color="auto"/>
              <w:left w:val="single" w:sz="4" w:space="0" w:color="auto"/>
              <w:bottom w:val="single" w:sz="4" w:space="0" w:color="auto"/>
              <w:right w:val="single" w:sz="4" w:space="0" w:color="auto"/>
            </w:tcBorders>
          </w:tcPr>
          <w:p w14:paraId="2A2C31BA" w14:textId="77777777" w:rsidR="007F19B9" w:rsidRPr="00AA2FF7" w:rsidRDefault="007F19B9" w:rsidP="004F00D4">
            <w:pPr>
              <w:pStyle w:val="NoSpacing"/>
            </w:pPr>
            <w:r w:rsidRPr="00AA2FF7">
              <w:t>First floor plans</w:t>
            </w:r>
          </w:p>
        </w:tc>
        <w:tc>
          <w:tcPr>
            <w:tcW w:w="1762" w:type="dxa"/>
            <w:tcBorders>
              <w:top w:val="single" w:sz="4" w:space="0" w:color="auto"/>
              <w:left w:val="single" w:sz="4" w:space="0" w:color="auto"/>
              <w:bottom w:val="single" w:sz="4" w:space="0" w:color="auto"/>
              <w:right w:val="single" w:sz="4" w:space="0" w:color="auto"/>
            </w:tcBorders>
          </w:tcPr>
          <w:p w14:paraId="7C7C64B0" w14:textId="77777777" w:rsidR="007F19B9" w:rsidRPr="00AA2FF7" w:rsidRDefault="007F19B9" w:rsidP="004F00D4">
            <w:pPr>
              <w:pStyle w:val="NoSpacing"/>
            </w:pPr>
            <w:r w:rsidRPr="00AA2FF7">
              <w:t>2968-2.241</w:t>
            </w:r>
          </w:p>
        </w:tc>
        <w:tc>
          <w:tcPr>
            <w:tcW w:w="1356" w:type="dxa"/>
            <w:tcBorders>
              <w:top w:val="single" w:sz="4" w:space="0" w:color="auto"/>
              <w:left w:val="single" w:sz="4" w:space="0" w:color="auto"/>
              <w:bottom w:val="single" w:sz="4" w:space="0" w:color="auto"/>
              <w:right w:val="single" w:sz="4" w:space="0" w:color="auto"/>
            </w:tcBorders>
          </w:tcPr>
          <w:p w14:paraId="4B2FB603" w14:textId="77777777" w:rsidR="007F19B9" w:rsidRPr="00AA2FF7" w:rsidRDefault="007F19B9" w:rsidP="004F00D4">
            <w:pPr>
              <w:pStyle w:val="NoSpacing"/>
            </w:pPr>
            <w:r w:rsidRPr="00AA2FF7">
              <w:t>2</w:t>
            </w:r>
          </w:p>
        </w:tc>
        <w:tc>
          <w:tcPr>
            <w:tcW w:w="2081" w:type="dxa"/>
            <w:tcBorders>
              <w:top w:val="single" w:sz="4" w:space="0" w:color="auto"/>
              <w:left w:val="single" w:sz="4" w:space="0" w:color="auto"/>
              <w:bottom w:val="single" w:sz="4" w:space="0" w:color="auto"/>
              <w:right w:val="single" w:sz="4" w:space="0" w:color="auto"/>
            </w:tcBorders>
          </w:tcPr>
          <w:p w14:paraId="00667785" w14:textId="77777777" w:rsidR="007F19B9" w:rsidRPr="00AA2FF7" w:rsidRDefault="007F19B9" w:rsidP="004F00D4">
            <w:pPr>
              <w:pStyle w:val="NoSpacing"/>
            </w:pPr>
            <w:r w:rsidRPr="00AA2FF7">
              <w:t xml:space="preserve">15/8/19 </w:t>
            </w:r>
          </w:p>
        </w:tc>
      </w:tr>
      <w:tr w:rsidR="007F19B9" w:rsidRPr="00AA2FF7" w14:paraId="64816A92" w14:textId="77777777" w:rsidTr="007F19B9">
        <w:tc>
          <w:tcPr>
            <w:tcW w:w="3369" w:type="dxa"/>
            <w:tcBorders>
              <w:top w:val="single" w:sz="4" w:space="0" w:color="auto"/>
              <w:left w:val="single" w:sz="4" w:space="0" w:color="auto"/>
              <w:bottom w:val="single" w:sz="4" w:space="0" w:color="auto"/>
              <w:right w:val="single" w:sz="4" w:space="0" w:color="auto"/>
            </w:tcBorders>
          </w:tcPr>
          <w:p w14:paraId="0EF7B561" w14:textId="77777777" w:rsidR="007F19B9" w:rsidRPr="00AA2FF7" w:rsidRDefault="007F19B9" w:rsidP="004F00D4">
            <w:pPr>
              <w:pStyle w:val="NoSpacing"/>
            </w:pPr>
            <w:r w:rsidRPr="00AA2FF7">
              <w:t>Second floor plans</w:t>
            </w:r>
          </w:p>
        </w:tc>
        <w:tc>
          <w:tcPr>
            <w:tcW w:w="1762" w:type="dxa"/>
            <w:tcBorders>
              <w:top w:val="single" w:sz="4" w:space="0" w:color="auto"/>
              <w:left w:val="single" w:sz="4" w:space="0" w:color="auto"/>
              <w:bottom w:val="single" w:sz="4" w:space="0" w:color="auto"/>
              <w:right w:val="single" w:sz="4" w:space="0" w:color="auto"/>
            </w:tcBorders>
          </w:tcPr>
          <w:p w14:paraId="4FF5F2C6" w14:textId="77777777" w:rsidR="007F19B9" w:rsidRPr="00AA2FF7" w:rsidRDefault="007F19B9" w:rsidP="004F00D4">
            <w:pPr>
              <w:pStyle w:val="NoSpacing"/>
            </w:pPr>
            <w:r w:rsidRPr="00AA2FF7">
              <w:t>2968-2.241</w:t>
            </w:r>
          </w:p>
        </w:tc>
        <w:tc>
          <w:tcPr>
            <w:tcW w:w="1356" w:type="dxa"/>
            <w:tcBorders>
              <w:top w:val="single" w:sz="4" w:space="0" w:color="auto"/>
              <w:left w:val="single" w:sz="4" w:space="0" w:color="auto"/>
              <w:bottom w:val="single" w:sz="4" w:space="0" w:color="auto"/>
              <w:right w:val="single" w:sz="4" w:space="0" w:color="auto"/>
            </w:tcBorders>
          </w:tcPr>
          <w:p w14:paraId="296F7A09" w14:textId="77777777" w:rsidR="007F19B9" w:rsidRPr="00AA2FF7" w:rsidRDefault="007F19B9" w:rsidP="004F00D4">
            <w:pPr>
              <w:pStyle w:val="NoSpacing"/>
            </w:pPr>
            <w:r w:rsidRPr="00AA2FF7">
              <w:t>3</w:t>
            </w:r>
          </w:p>
        </w:tc>
        <w:tc>
          <w:tcPr>
            <w:tcW w:w="2081" w:type="dxa"/>
            <w:tcBorders>
              <w:top w:val="single" w:sz="4" w:space="0" w:color="auto"/>
              <w:left w:val="single" w:sz="4" w:space="0" w:color="auto"/>
              <w:bottom w:val="single" w:sz="4" w:space="0" w:color="auto"/>
              <w:right w:val="single" w:sz="4" w:space="0" w:color="auto"/>
            </w:tcBorders>
          </w:tcPr>
          <w:p w14:paraId="34A97886" w14:textId="77777777" w:rsidR="007F19B9" w:rsidRPr="00AA2FF7" w:rsidRDefault="007F19B9" w:rsidP="004F00D4">
            <w:pPr>
              <w:pStyle w:val="NoSpacing"/>
            </w:pPr>
            <w:r w:rsidRPr="00AA2FF7">
              <w:t>15/8/19</w:t>
            </w:r>
          </w:p>
        </w:tc>
      </w:tr>
      <w:tr w:rsidR="007F19B9" w:rsidRPr="00AA2FF7" w14:paraId="3E75AE08" w14:textId="77777777" w:rsidTr="007F19B9">
        <w:tc>
          <w:tcPr>
            <w:tcW w:w="3369" w:type="dxa"/>
            <w:tcBorders>
              <w:top w:val="single" w:sz="4" w:space="0" w:color="auto"/>
              <w:left w:val="single" w:sz="4" w:space="0" w:color="auto"/>
              <w:bottom w:val="single" w:sz="4" w:space="0" w:color="auto"/>
              <w:right w:val="single" w:sz="4" w:space="0" w:color="auto"/>
            </w:tcBorders>
          </w:tcPr>
          <w:p w14:paraId="53E23E3A" w14:textId="77777777" w:rsidR="007F19B9" w:rsidRPr="00AA2FF7" w:rsidRDefault="007F19B9" w:rsidP="004F00D4">
            <w:pPr>
              <w:pStyle w:val="NoSpacing"/>
            </w:pPr>
            <w:r w:rsidRPr="00AA2FF7">
              <w:t>Third floor plans</w:t>
            </w:r>
          </w:p>
        </w:tc>
        <w:tc>
          <w:tcPr>
            <w:tcW w:w="1762" w:type="dxa"/>
            <w:tcBorders>
              <w:top w:val="single" w:sz="4" w:space="0" w:color="auto"/>
              <w:left w:val="single" w:sz="4" w:space="0" w:color="auto"/>
              <w:bottom w:val="single" w:sz="4" w:space="0" w:color="auto"/>
              <w:right w:val="single" w:sz="4" w:space="0" w:color="auto"/>
            </w:tcBorders>
          </w:tcPr>
          <w:p w14:paraId="297A1315" w14:textId="77777777" w:rsidR="007F19B9" w:rsidRPr="00AA2FF7" w:rsidRDefault="007F19B9" w:rsidP="004F00D4">
            <w:pPr>
              <w:pStyle w:val="NoSpacing"/>
            </w:pPr>
            <w:r w:rsidRPr="00AA2FF7">
              <w:t>2968-2.241</w:t>
            </w:r>
          </w:p>
        </w:tc>
        <w:tc>
          <w:tcPr>
            <w:tcW w:w="1356" w:type="dxa"/>
            <w:tcBorders>
              <w:top w:val="single" w:sz="4" w:space="0" w:color="auto"/>
              <w:left w:val="single" w:sz="4" w:space="0" w:color="auto"/>
              <w:bottom w:val="single" w:sz="4" w:space="0" w:color="auto"/>
              <w:right w:val="single" w:sz="4" w:space="0" w:color="auto"/>
            </w:tcBorders>
          </w:tcPr>
          <w:p w14:paraId="4B3AE891" w14:textId="77777777" w:rsidR="007F19B9" w:rsidRPr="00AA2FF7" w:rsidRDefault="007F19B9" w:rsidP="004F00D4">
            <w:pPr>
              <w:pStyle w:val="NoSpacing"/>
            </w:pPr>
            <w:r w:rsidRPr="00AA2FF7">
              <w:t>4</w:t>
            </w:r>
          </w:p>
        </w:tc>
        <w:tc>
          <w:tcPr>
            <w:tcW w:w="2081" w:type="dxa"/>
            <w:tcBorders>
              <w:top w:val="single" w:sz="4" w:space="0" w:color="auto"/>
              <w:left w:val="single" w:sz="4" w:space="0" w:color="auto"/>
              <w:bottom w:val="single" w:sz="4" w:space="0" w:color="auto"/>
              <w:right w:val="single" w:sz="4" w:space="0" w:color="auto"/>
            </w:tcBorders>
          </w:tcPr>
          <w:p w14:paraId="2DF8D7A5" w14:textId="77777777" w:rsidR="007F19B9" w:rsidRPr="00AA2FF7" w:rsidRDefault="007F19B9" w:rsidP="004F00D4">
            <w:pPr>
              <w:pStyle w:val="NoSpacing"/>
            </w:pPr>
            <w:r w:rsidRPr="00AA2FF7">
              <w:t>15/8/19</w:t>
            </w:r>
          </w:p>
        </w:tc>
      </w:tr>
      <w:tr w:rsidR="007F19B9" w:rsidRPr="00AA2FF7" w14:paraId="5C9B0718" w14:textId="77777777" w:rsidTr="007F19B9">
        <w:tc>
          <w:tcPr>
            <w:tcW w:w="3369" w:type="dxa"/>
            <w:tcBorders>
              <w:top w:val="single" w:sz="4" w:space="0" w:color="auto"/>
              <w:left w:val="single" w:sz="4" w:space="0" w:color="auto"/>
              <w:bottom w:val="single" w:sz="4" w:space="0" w:color="auto"/>
              <w:right w:val="single" w:sz="4" w:space="0" w:color="auto"/>
            </w:tcBorders>
          </w:tcPr>
          <w:p w14:paraId="43A2419F" w14:textId="77777777" w:rsidR="007F19B9" w:rsidRPr="00AA2FF7" w:rsidRDefault="007F19B9" w:rsidP="004F00D4">
            <w:pPr>
              <w:pStyle w:val="NoSpacing"/>
            </w:pPr>
            <w:r w:rsidRPr="00AA2FF7">
              <w:t>Fourth floor plans</w:t>
            </w:r>
          </w:p>
        </w:tc>
        <w:tc>
          <w:tcPr>
            <w:tcW w:w="1762" w:type="dxa"/>
            <w:tcBorders>
              <w:top w:val="single" w:sz="4" w:space="0" w:color="auto"/>
              <w:left w:val="single" w:sz="4" w:space="0" w:color="auto"/>
              <w:bottom w:val="single" w:sz="4" w:space="0" w:color="auto"/>
              <w:right w:val="single" w:sz="4" w:space="0" w:color="auto"/>
            </w:tcBorders>
          </w:tcPr>
          <w:p w14:paraId="42BC4D00" w14:textId="77777777" w:rsidR="007F19B9" w:rsidRPr="00AA2FF7" w:rsidRDefault="007F19B9" w:rsidP="004F00D4">
            <w:pPr>
              <w:pStyle w:val="NoSpacing"/>
            </w:pPr>
            <w:r w:rsidRPr="00AA2FF7">
              <w:t>2968-2.241</w:t>
            </w:r>
          </w:p>
        </w:tc>
        <w:tc>
          <w:tcPr>
            <w:tcW w:w="1356" w:type="dxa"/>
            <w:tcBorders>
              <w:top w:val="single" w:sz="4" w:space="0" w:color="auto"/>
              <w:left w:val="single" w:sz="4" w:space="0" w:color="auto"/>
              <w:bottom w:val="single" w:sz="4" w:space="0" w:color="auto"/>
              <w:right w:val="single" w:sz="4" w:space="0" w:color="auto"/>
            </w:tcBorders>
          </w:tcPr>
          <w:p w14:paraId="4CE2C37A" w14:textId="77777777" w:rsidR="007F19B9" w:rsidRPr="00AA2FF7" w:rsidRDefault="007F19B9" w:rsidP="004F00D4">
            <w:pPr>
              <w:pStyle w:val="NoSpacing"/>
            </w:pPr>
            <w:r w:rsidRPr="00AA2FF7">
              <w:t>5</w:t>
            </w:r>
          </w:p>
        </w:tc>
        <w:tc>
          <w:tcPr>
            <w:tcW w:w="2081" w:type="dxa"/>
            <w:tcBorders>
              <w:top w:val="single" w:sz="4" w:space="0" w:color="auto"/>
              <w:left w:val="single" w:sz="4" w:space="0" w:color="auto"/>
              <w:bottom w:val="single" w:sz="4" w:space="0" w:color="auto"/>
              <w:right w:val="single" w:sz="4" w:space="0" w:color="auto"/>
            </w:tcBorders>
          </w:tcPr>
          <w:p w14:paraId="32720E4A" w14:textId="77777777" w:rsidR="007F19B9" w:rsidRPr="00AA2FF7" w:rsidRDefault="007F19B9" w:rsidP="004F00D4">
            <w:pPr>
              <w:pStyle w:val="NoSpacing"/>
            </w:pPr>
            <w:r w:rsidRPr="00AA2FF7">
              <w:t>15/8/19</w:t>
            </w:r>
          </w:p>
        </w:tc>
      </w:tr>
      <w:tr w:rsidR="007F19B9" w:rsidRPr="00AA2FF7" w14:paraId="668E58CE" w14:textId="77777777" w:rsidTr="007F19B9">
        <w:tc>
          <w:tcPr>
            <w:tcW w:w="3369" w:type="dxa"/>
            <w:tcBorders>
              <w:top w:val="single" w:sz="4" w:space="0" w:color="auto"/>
              <w:left w:val="single" w:sz="4" w:space="0" w:color="auto"/>
              <w:bottom w:val="single" w:sz="4" w:space="0" w:color="auto"/>
              <w:right w:val="single" w:sz="4" w:space="0" w:color="auto"/>
            </w:tcBorders>
          </w:tcPr>
          <w:p w14:paraId="426C183B" w14:textId="77777777" w:rsidR="007F19B9" w:rsidRPr="00AA2FF7" w:rsidRDefault="007F19B9" w:rsidP="004F00D4">
            <w:pPr>
              <w:pStyle w:val="NoSpacing"/>
            </w:pPr>
            <w:r w:rsidRPr="00AA2FF7">
              <w:t>Proposed massing in relationship to clock tower</w:t>
            </w:r>
          </w:p>
        </w:tc>
        <w:tc>
          <w:tcPr>
            <w:tcW w:w="1762" w:type="dxa"/>
            <w:tcBorders>
              <w:top w:val="single" w:sz="4" w:space="0" w:color="auto"/>
              <w:left w:val="single" w:sz="4" w:space="0" w:color="auto"/>
              <w:bottom w:val="single" w:sz="4" w:space="0" w:color="auto"/>
              <w:right w:val="single" w:sz="4" w:space="0" w:color="auto"/>
            </w:tcBorders>
          </w:tcPr>
          <w:p w14:paraId="47EA7A95" w14:textId="77777777" w:rsidR="007F19B9" w:rsidRPr="00AA2FF7" w:rsidRDefault="007F19B9" w:rsidP="004F00D4">
            <w:pPr>
              <w:pStyle w:val="NoSpacing"/>
            </w:pPr>
          </w:p>
        </w:tc>
        <w:tc>
          <w:tcPr>
            <w:tcW w:w="1356" w:type="dxa"/>
            <w:tcBorders>
              <w:top w:val="single" w:sz="4" w:space="0" w:color="auto"/>
              <w:left w:val="single" w:sz="4" w:space="0" w:color="auto"/>
              <w:bottom w:val="single" w:sz="4" w:space="0" w:color="auto"/>
              <w:right w:val="single" w:sz="4" w:space="0" w:color="auto"/>
            </w:tcBorders>
          </w:tcPr>
          <w:p w14:paraId="096D763B" w14:textId="77777777" w:rsidR="007F19B9" w:rsidRPr="00AA2FF7" w:rsidRDefault="007F19B9" w:rsidP="004F00D4">
            <w:pPr>
              <w:pStyle w:val="NoSpacing"/>
            </w:pPr>
          </w:p>
        </w:tc>
        <w:tc>
          <w:tcPr>
            <w:tcW w:w="2081" w:type="dxa"/>
            <w:tcBorders>
              <w:top w:val="single" w:sz="4" w:space="0" w:color="auto"/>
              <w:left w:val="single" w:sz="4" w:space="0" w:color="auto"/>
              <w:bottom w:val="single" w:sz="4" w:space="0" w:color="auto"/>
              <w:right w:val="single" w:sz="4" w:space="0" w:color="auto"/>
            </w:tcBorders>
          </w:tcPr>
          <w:p w14:paraId="475D6F94" w14:textId="77777777" w:rsidR="007F19B9" w:rsidRPr="00AA2FF7" w:rsidRDefault="007F19B9" w:rsidP="004F00D4">
            <w:pPr>
              <w:pStyle w:val="NoSpacing"/>
            </w:pPr>
            <w:r w:rsidRPr="00AA2FF7">
              <w:t>26/9/19</w:t>
            </w:r>
          </w:p>
        </w:tc>
      </w:tr>
    </w:tbl>
    <w:p w14:paraId="6C5411D7" w14:textId="77777777" w:rsidR="008B4ADE" w:rsidRDefault="008B4ADE" w:rsidP="00AA2FF7">
      <w:pPr>
        <w:spacing w:after="240"/>
        <w:rPr>
          <w:rFonts w:ascii="Arial" w:hAnsi="Arial" w:cs="Arial"/>
        </w:rPr>
      </w:pPr>
    </w:p>
    <w:p w14:paraId="4E9DFF67" w14:textId="00D8662B" w:rsidR="009D31B8" w:rsidRDefault="007F19B9" w:rsidP="00AA2FF7">
      <w:pPr>
        <w:spacing w:after="240"/>
        <w:rPr>
          <w:rFonts w:ascii="Arial" w:hAnsi="Arial" w:cs="Arial"/>
        </w:rPr>
      </w:pPr>
      <w:r w:rsidRPr="00AA2FF7">
        <w:rPr>
          <w:rFonts w:ascii="Arial" w:hAnsi="Arial" w:cs="Arial"/>
        </w:rPr>
        <w:t xml:space="preserve">Pursuant to article 35 (2) of the Town and Country Planning (Development Management Procedure) Order 2015 and guidance in the National Planning Policy Framework, the Local Planning Authority have, where possible, made a pre-application advice service available, complied with the Kirklees Development Management Charter 2015 and otherwise actively engaged with the applicant  in dealing with the application. </w:t>
      </w:r>
    </w:p>
    <w:p w14:paraId="440EA4E3" w14:textId="77777777" w:rsidR="007F19B9" w:rsidRPr="00AA2FF7" w:rsidRDefault="009D31B8" w:rsidP="00AA2FF7">
      <w:pPr>
        <w:spacing w:after="240"/>
        <w:rPr>
          <w:rFonts w:ascii="Arial" w:hAnsi="Arial" w:cs="Arial"/>
          <w:b/>
        </w:rPr>
      </w:pPr>
      <w:r>
        <w:rPr>
          <w:rFonts w:ascii="Arial" w:hAnsi="Arial" w:cs="Arial"/>
        </w:rPr>
        <w:br w:type="page"/>
      </w:r>
    </w:p>
    <w:p w14:paraId="1E5C02E3" w14:textId="22635F31" w:rsidR="007F19B9" w:rsidRPr="00AA2FF7" w:rsidRDefault="007F19B9" w:rsidP="00544D57">
      <w:pPr>
        <w:pBdr>
          <w:top w:val="single" w:sz="12" w:space="1" w:color="auto"/>
          <w:left w:val="single" w:sz="12" w:space="4" w:color="auto"/>
          <w:bottom w:val="single" w:sz="12" w:space="1" w:color="auto"/>
          <w:right w:val="single" w:sz="12" w:space="4" w:color="auto"/>
        </w:pBdr>
        <w:rPr>
          <w:rFonts w:ascii="Arial" w:hAnsi="Arial" w:cs="Arial"/>
          <w:b/>
        </w:rPr>
      </w:pPr>
      <w:r w:rsidRPr="00AA2FF7">
        <w:rPr>
          <w:rFonts w:ascii="Arial" w:hAnsi="Arial" w:cs="Arial"/>
          <w:b/>
        </w:rPr>
        <w:t>Development within a Coal Mining Area</w:t>
      </w:r>
    </w:p>
    <w:p w14:paraId="2167B9ED" w14:textId="77777777" w:rsidR="007F19B9" w:rsidRPr="00AA2FF7" w:rsidRDefault="007F19B9" w:rsidP="00544D57">
      <w:pPr>
        <w:pBdr>
          <w:top w:val="single" w:sz="12" w:space="1" w:color="auto"/>
          <w:left w:val="single" w:sz="12" w:space="4" w:color="auto"/>
          <w:bottom w:val="single" w:sz="12" w:space="1" w:color="auto"/>
          <w:right w:val="single" w:sz="12" w:space="4" w:color="auto"/>
        </w:pBdr>
        <w:rPr>
          <w:rFonts w:ascii="Arial" w:hAnsi="Arial" w:cs="Arial"/>
          <w:b/>
        </w:rPr>
      </w:pPr>
    </w:p>
    <w:p w14:paraId="74F9061F" w14:textId="77777777" w:rsidR="007F19B9" w:rsidRPr="00AA2FF7" w:rsidRDefault="007F19B9" w:rsidP="00544D57">
      <w:pPr>
        <w:pBdr>
          <w:top w:val="single" w:sz="12" w:space="1" w:color="auto"/>
          <w:left w:val="single" w:sz="12" w:space="4" w:color="auto"/>
          <w:bottom w:val="single" w:sz="12" w:space="1" w:color="auto"/>
          <w:right w:val="single" w:sz="12" w:space="4" w:color="auto"/>
        </w:pBdr>
        <w:rPr>
          <w:rFonts w:ascii="Arial" w:hAnsi="Arial" w:cs="Arial"/>
          <w:b/>
        </w:rPr>
      </w:pPr>
      <w:r w:rsidRPr="00AA2FF7">
        <w:rPr>
          <w:rFonts w:ascii="Arial" w:hAnsi="Arial" w:cs="Arial"/>
          <w:b/>
        </w:rPr>
        <w:t xml:space="preserve">The proposed development lies within an area that has been defined by the Coal Authority as containing potential hazards arising from former coal mining activity.  These hazards can include: mine entries (shafts and </w:t>
      </w:r>
      <w:proofErr w:type="spellStart"/>
      <w:r w:rsidRPr="00AA2FF7">
        <w:rPr>
          <w:rFonts w:ascii="Arial" w:hAnsi="Arial" w:cs="Arial"/>
          <w:b/>
        </w:rPr>
        <w:t>adits</w:t>
      </w:r>
      <w:proofErr w:type="spellEnd"/>
      <w:r w:rsidRPr="00AA2FF7">
        <w:rPr>
          <w:rFonts w:ascii="Arial" w:hAnsi="Arial" w:cs="Arial"/>
          <w:b/>
        </w:rPr>
        <w:t xml:space="preserve">); shallow coal workings; geological features (fissures and break lines); mine gas and previous surface mining sites.  Although such hazards are seldom readily visible, they can often be present and problems can occur in the future, particularly as a result of development taking place.  </w:t>
      </w:r>
    </w:p>
    <w:p w14:paraId="106CD005" w14:textId="77777777" w:rsidR="007F19B9" w:rsidRPr="00AA2FF7" w:rsidRDefault="007F19B9" w:rsidP="00544D57">
      <w:pPr>
        <w:pBdr>
          <w:top w:val="single" w:sz="12" w:space="1" w:color="auto"/>
          <w:left w:val="single" w:sz="12" w:space="4" w:color="auto"/>
          <w:bottom w:val="single" w:sz="12" w:space="1" w:color="auto"/>
          <w:right w:val="single" w:sz="12" w:space="4" w:color="auto"/>
        </w:pBdr>
        <w:rPr>
          <w:rFonts w:ascii="Arial" w:hAnsi="Arial" w:cs="Arial"/>
          <w:b/>
        </w:rPr>
      </w:pPr>
    </w:p>
    <w:p w14:paraId="397513ED" w14:textId="77777777" w:rsidR="007F19B9" w:rsidRPr="00AA2FF7" w:rsidRDefault="007F19B9" w:rsidP="00544D57">
      <w:pPr>
        <w:pBdr>
          <w:top w:val="single" w:sz="12" w:space="1" w:color="auto"/>
          <w:left w:val="single" w:sz="12" w:space="4" w:color="auto"/>
          <w:bottom w:val="single" w:sz="12" w:space="1" w:color="auto"/>
          <w:right w:val="single" w:sz="12" w:space="4" w:color="auto"/>
        </w:pBdr>
        <w:rPr>
          <w:rFonts w:ascii="Arial" w:hAnsi="Arial" w:cs="Arial"/>
          <w:b/>
          <w:iCs/>
        </w:rPr>
      </w:pPr>
      <w:r w:rsidRPr="00AA2FF7">
        <w:rPr>
          <w:rFonts w:ascii="Arial" w:hAnsi="Arial" w:cs="Arial"/>
          <w:b/>
          <w:iCs/>
        </w:rPr>
        <w:t xml:space="preserve">It is recommended that information outlining how the former mining activities affect the proposed development, along with any mitigation measures required (for example the need for gas protection measures within the foundations), be submitted alongside any subsequent application for Building Regulations approval (if relevant).   </w:t>
      </w:r>
    </w:p>
    <w:p w14:paraId="5B8A4935" w14:textId="77777777" w:rsidR="007F19B9" w:rsidRPr="00AA2FF7" w:rsidRDefault="007F19B9" w:rsidP="00544D57">
      <w:pPr>
        <w:pBdr>
          <w:top w:val="single" w:sz="12" w:space="1" w:color="auto"/>
          <w:left w:val="single" w:sz="12" w:space="4" w:color="auto"/>
          <w:bottom w:val="single" w:sz="12" w:space="1" w:color="auto"/>
          <w:right w:val="single" w:sz="12" w:space="4" w:color="auto"/>
        </w:pBdr>
        <w:rPr>
          <w:rFonts w:ascii="Arial" w:hAnsi="Arial" w:cs="Arial"/>
          <w:b/>
          <w:iCs/>
        </w:rPr>
      </w:pPr>
    </w:p>
    <w:p w14:paraId="6327557C" w14:textId="77777777" w:rsidR="007F19B9" w:rsidRPr="00AA2FF7" w:rsidRDefault="007F19B9" w:rsidP="00544D57">
      <w:pPr>
        <w:pBdr>
          <w:top w:val="single" w:sz="12" w:space="1" w:color="auto"/>
          <w:left w:val="single" w:sz="12" w:space="4" w:color="auto"/>
          <w:bottom w:val="single" w:sz="12" w:space="1" w:color="auto"/>
          <w:right w:val="single" w:sz="12" w:space="4" w:color="auto"/>
        </w:pBdr>
        <w:rPr>
          <w:rFonts w:ascii="Arial" w:hAnsi="Arial" w:cs="Arial"/>
          <w:b/>
          <w:iCs/>
        </w:rPr>
      </w:pPr>
      <w:r w:rsidRPr="00AA2FF7">
        <w:rPr>
          <w:rFonts w:ascii="Arial" w:hAnsi="Arial" w:cs="Arial"/>
          <w:b/>
          <w:iCs/>
        </w:rPr>
        <w:t xml:space="preserve">Any form of development over or within the influencing distance of a mine entry can be dangerous and raises significant safety and engineering risks and exposes all parties to potential financial liabilities.  As a general precautionary principle, the Coal Authority considers that the building over or within the influencing distance of a mine entry should wherever possible be avoided.  In exceptional circumstance where this is unavoidable, expert advice must be sought to ensure that a suitable engineering design is developed and agreed with regulatory bodies which takes into account of all the relevant safety and environmental risk factors, including gas and mine-water. </w:t>
      </w:r>
      <w:bookmarkStart w:id="1" w:name="OLE_LINK1"/>
      <w:r w:rsidRPr="00AA2FF7">
        <w:rPr>
          <w:rFonts w:ascii="Arial" w:hAnsi="Arial" w:cs="Arial"/>
          <w:b/>
          <w:iCs/>
        </w:rPr>
        <w:t xml:space="preserve"> Your attention is drawn to the Coal Authority Policy in relation to new development and mine entries available at: </w:t>
      </w:r>
    </w:p>
    <w:p w14:paraId="77077113" w14:textId="5B9F6233" w:rsidR="007F19B9" w:rsidRPr="00AA2FF7" w:rsidRDefault="00F37C65" w:rsidP="00544D57">
      <w:pPr>
        <w:pBdr>
          <w:top w:val="single" w:sz="12" w:space="1" w:color="auto"/>
          <w:left w:val="single" w:sz="12" w:space="4" w:color="auto"/>
          <w:bottom w:val="single" w:sz="12" w:space="1" w:color="auto"/>
          <w:right w:val="single" w:sz="12" w:space="4" w:color="auto"/>
        </w:pBdr>
        <w:rPr>
          <w:rFonts w:ascii="Arial" w:hAnsi="Arial" w:cs="Arial"/>
          <w:b/>
          <w:bCs/>
          <w:color w:val="0000FF"/>
          <w:u w:val="single"/>
        </w:rPr>
      </w:pPr>
      <w:hyperlink r:id="rId10" w:history="1">
        <w:r w:rsidR="007F19B9" w:rsidRPr="00AA2FF7">
          <w:rPr>
            <w:rFonts w:ascii="Arial" w:hAnsi="Arial" w:cs="Arial"/>
            <w:b/>
            <w:bCs/>
          </w:rPr>
          <w:t>www</w:t>
        </w:r>
        <w:r w:rsidR="007F19B9" w:rsidRPr="00AA2FF7">
          <w:rPr>
            <w:rFonts w:ascii="Arial" w:hAnsi="Arial" w:cs="Arial"/>
            <w:b/>
            <w:bCs/>
            <w:color w:val="0000FF"/>
            <w:u w:val="single"/>
          </w:rPr>
          <w:t>.gov.uk/government/publications/building-on-or-within-the-influencing-distance-of-mine-entries</w:t>
        </w:r>
      </w:hyperlink>
    </w:p>
    <w:p w14:paraId="7389EFD8" w14:textId="77777777" w:rsidR="007F19B9" w:rsidRPr="00AA2FF7" w:rsidRDefault="007F19B9" w:rsidP="00544D57">
      <w:pPr>
        <w:pBdr>
          <w:top w:val="single" w:sz="12" w:space="1" w:color="auto"/>
          <w:left w:val="single" w:sz="12" w:space="4" w:color="auto"/>
          <w:bottom w:val="single" w:sz="12" w:space="1" w:color="auto"/>
          <w:right w:val="single" w:sz="12" w:space="4" w:color="auto"/>
        </w:pBdr>
        <w:rPr>
          <w:rFonts w:ascii="Arial" w:hAnsi="Arial" w:cs="Arial"/>
          <w:b/>
        </w:rPr>
      </w:pPr>
    </w:p>
    <w:p w14:paraId="0DC31ABF" w14:textId="77777777" w:rsidR="007F19B9" w:rsidRPr="00AA2FF7" w:rsidRDefault="007F19B9" w:rsidP="00544D57">
      <w:pPr>
        <w:pBdr>
          <w:top w:val="single" w:sz="12" w:space="1" w:color="auto"/>
          <w:left w:val="single" w:sz="12" w:space="4" w:color="auto"/>
          <w:bottom w:val="single" w:sz="12" w:space="1" w:color="auto"/>
          <w:right w:val="single" w:sz="12" w:space="4" w:color="auto"/>
        </w:pBdr>
        <w:rPr>
          <w:rFonts w:ascii="Arial" w:hAnsi="Arial" w:cs="Arial"/>
          <w:b/>
        </w:rPr>
      </w:pPr>
      <w:r w:rsidRPr="00AA2FF7">
        <w:rPr>
          <w:rFonts w:ascii="Arial" w:hAnsi="Arial" w:cs="Arial"/>
          <w:b/>
        </w:rPr>
        <w:t xml:space="preserve">Any intrusive activities which disturb or enter any coal seams, coal mine workings or coal mine entries (shafts and </w:t>
      </w:r>
      <w:proofErr w:type="spellStart"/>
      <w:r w:rsidRPr="00AA2FF7">
        <w:rPr>
          <w:rFonts w:ascii="Arial" w:hAnsi="Arial" w:cs="Arial"/>
          <w:b/>
        </w:rPr>
        <w:t>adits</w:t>
      </w:r>
      <w:proofErr w:type="spellEnd"/>
      <w:r w:rsidRPr="00AA2FF7">
        <w:rPr>
          <w:rFonts w:ascii="Arial" w:hAnsi="Arial" w:cs="Arial"/>
          <w:b/>
        </w:rPr>
        <w:t xml:space="preserve">) requires a Coal Authority Permit.  Such activities could include site investigation boreholes, digging of foundations, piling activities, other ground works and any subsequent treatment of coal mine workings and coal mine entries for ground stability purposes.  Failure to obtain a Coal Authority Permit for such activities is trespass, with the potential for court action.  </w:t>
      </w:r>
    </w:p>
    <w:p w14:paraId="10E5CCCF" w14:textId="77777777" w:rsidR="007F19B9" w:rsidRPr="00AA2FF7" w:rsidRDefault="007F19B9" w:rsidP="00544D57">
      <w:pPr>
        <w:pBdr>
          <w:top w:val="single" w:sz="12" w:space="1" w:color="auto"/>
          <w:left w:val="single" w:sz="12" w:space="4" w:color="auto"/>
          <w:bottom w:val="single" w:sz="12" w:space="1" w:color="auto"/>
          <w:right w:val="single" w:sz="12" w:space="4" w:color="auto"/>
        </w:pBdr>
        <w:rPr>
          <w:rFonts w:ascii="Arial" w:hAnsi="Arial" w:cs="Arial"/>
          <w:b/>
        </w:rPr>
      </w:pPr>
    </w:p>
    <w:bookmarkEnd w:id="1"/>
    <w:p w14:paraId="5AEED63F" w14:textId="0C872063" w:rsidR="007F19B9" w:rsidRPr="00AA2FF7" w:rsidRDefault="007F19B9" w:rsidP="00544D57">
      <w:pPr>
        <w:pBdr>
          <w:top w:val="single" w:sz="12" w:space="1" w:color="auto"/>
          <w:left w:val="single" w:sz="12" w:space="4" w:color="auto"/>
          <w:bottom w:val="single" w:sz="12" w:space="1" w:color="auto"/>
          <w:right w:val="single" w:sz="12" w:space="4" w:color="auto"/>
        </w:pBdr>
        <w:rPr>
          <w:rFonts w:ascii="Arial" w:hAnsi="Arial" w:cs="Arial"/>
          <w:b/>
        </w:rPr>
      </w:pPr>
      <w:r w:rsidRPr="00AA2FF7">
        <w:rPr>
          <w:rFonts w:ascii="Arial" w:hAnsi="Arial" w:cs="Arial"/>
          <w:b/>
        </w:rPr>
        <w:t xml:space="preserve">Property-specific summary information on past, current and future coal mining activity can be obtained from: </w:t>
      </w:r>
      <w:hyperlink r:id="rId11" w:history="1">
        <w:r w:rsidRPr="00AA2FF7">
          <w:rPr>
            <w:rFonts w:ascii="Arial" w:hAnsi="Arial" w:cs="Arial"/>
            <w:b/>
          </w:rPr>
          <w:t>www.groundstability.com</w:t>
        </w:r>
      </w:hyperlink>
      <w:r w:rsidRPr="00AA2FF7">
        <w:rPr>
          <w:rFonts w:ascii="Arial" w:hAnsi="Arial" w:cs="Arial"/>
          <w:b/>
        </w:rPr>
        <w:t xml:space="preserve"> or a similar service provider.</w:t>
      </w:r>
    </w:p>
    <w:p w14:paraId="179E1FCE" w14:textId="77777777" w:rsidR="007F19B9" w:rsidRPr="00AA2FF7" w:rsidRDefault="007F19B9" w:rsidP="00544D57">
      <w:pPr>
        <w:pBdr>
          <w:top w:val="single" w:sz="12" w:space="1" w:color="auto"/>
          <w:left w:val="single" w:sz="12" w:space="4" w:color="auto"/>
          <w:bottom w:val="single" w:sz="12" w:space="1" w:color="auto"/>
          <w:right w:val="single" w:sz="12" w:space="4" w:color="auto"/>
        </w:pBdr>
        <w:rPr>
          <w:rFonts w:ascii="Arial" w:hAnsi="Arial" w:cs="Arial"/>
          <w:b/>
        </w:rPr>
      </w:pPr>
    </w:p>
    <w:p w14:paraId="2836F169" w14:textId="77777777" w:rsidR="007F19B9" w:rsidRPr="00AA2FF7" w:rsidRDefault="007F19B9" w:rsidP="00544D57">
      <w:pPr>
        <w:pBdr>
          <w:top w:val="single" w:sz="12" w:space="1" w:color="auto"/>
          <w:left w:val="single" w:sz="12" w:space="4" w:color="auto"/>
          <w:bottom w:val="single" w:sz="12" w:space="1" w:color="auto"/>
          <w:right w:val="single" w:sz="12" w:space="4" w:color="auto"/>
        </w:pBdr>
        <w:rPr>
          <w:rFonts w:ascii="Arial" w:hAnsi="Arial" w:cs="Arial"/>
          <w:b/>
        </w:rPr>
      </w:pPr>
      <w:r w:rsidRPr="00AA2FF7">
        <w:rPr>
          <w:rFonts w:ascii="Arial" w:hAnsi="Arial" w:cs="Arial"/>
          <w:b/>
        </w:rPr>
        <w:t>If any coal mining features are unexpectedly encountered during development, this should be reported immediately to the Coal Authority on 0345 762 6848.  Further information is available on the Coal Authority website at:</w:t>
      </w:r>
    </w:p>
    <w:p w14:paraId="5ED81F3C" w14:textId="58C59F20" w:rsidR="007F19B9" w:rsidRPr="00AA2FF7" w:rsidRDefault="00F37C65" w:rsidP="00B37F59">
      <w:pPr>
        <w:pBdr>
          <w:top w:val="single" w:sz="12" w:space="1" w:color="auto"/>
          <w:left w:val="single" w:sz="12" w:space="4" w:color="auto"/>
          <w:bottom w:val="single" w:sz="12" w:space="1" w:color="auto"/>
          <w:right w:val="single" w:sz="12" w:space="4" w:color="auto"/>
        </w:pBdr>
        <w:rPr>
          <w:rFonts w:ascii="Arial" w:hAnsi="Arial" w:cs="Arial"/>
          <w:b/>
          <w:color w:val="0000FF"/>
          <w:u w:val="single"/>
        </w:rPr>
      </w:pPr>
      <w:hyperlink r:id="rId12" w:history="1">
        <w:r w:rsidR="007F19B9" w:rsidRPr="00AA2FF7">
          <w:rPr>
            <w:rFonts w:ascii="Arial" w:hAnsi="Arial" w:cs="Arial"/>
            <w:b/>
            <w:color w:val="0000FF"/>
            <w:u w:val="single"/>
          </w:rPr>
          <w:t>www.gov.uk/government/organisations/the-coal-authority</w:t>
        </w:r>
      </w:hyperlink>
    </w:p>
    <w:p w14:paraId="30767FC5" w14:textId="77777777" w:rsidR="007F19B9" w:rsidRPr="00AA2FF7" w:rsidRDefault="007F19B9" w:rsidP="00B37F59">
      <w:pPr>
        <w:pBdr>
          <w:top w:val="single" w:sz="12" w:space="1" w:color="auto"/>
          <w:left w:val="single" w:sz="12" w:space="4" w:color="auto"/>
          <w:bottom w:val="single" w:sz="12" w:space="1" w:color="auto"/>
          <w:right w:val="single" w:sz="12" w:space="4" w:color="auto"/>
        </w:pBdr>
        <w:rPr>
          <w:rFonts w:ascii="Arial" w:hAnsi="Arial" w:cs="Arial"/>
          <w:b/>
        </w:rPr>
      </w:pPr>
    </w:p>
    <w:p w14:paraId="6C6E40FD" w14:textId="77777777" w:rsidR="00872404" w:rsidRDefault="00872404" w:rsidP="004311B3">
      <w:pPr>
        <w:rPr>
          <w:rFonts w:ascii="Arial" w:hAnsi="Arial"/>
          <w:sz w:val="22"/>
        </w:rPr>
      </w:pPr>
      <w:r w:rsidRPr="00AA2FF7">
        <w:rPr>
          <w:rFonts w:ascii="Arial" w:hAnsi="Arial"/>
        </w:rPr>
        <w:fldChar w:fldCharType="end"/>
      </w:r>
    </w:p>
    <w:p w14:paraId="51B2813C" w14:textId="77777777" w:rsidR="00872404" w:rsidRPr="001A66FD" w:rsidRDefault="00872404" w:rsidP="001A66FD">
      <w:pPr>
        <w:rPr>
          <w:rFonts w:ascii="Arial" w:hAnsi="Arial"/>
          <w:b/>
          <w:color w:val="000000"/>
          <w:lang w:eastAsia="en-GB"/>
        </w:rPr>
      </w:pPr>
    </w:p>
    <w:p w14:paraId="4814CB7D" w14:textId="77777777" w:rsidR="00872404" w:rsidRPr="001A66FD" w:rsidRDefault="00872404" w:rsidP="001A66FD">
      <w:pPr>
        <w:pBdr>
          <w:top w:val="single" w:sz="12" w:space="1" w:color="auto"/>
          <w:left w:val="single" w:sz="12" w:space="4" w:color="auto"/>
          <w:bottom w:val="single" w:sz="12" w:space="1" w:color="auto"/>
          <w:right w:val="single" w:sz="12" w:space="4" w:color="auto"/>
        </w:pBdr>
        <w:spacing w:after="120"/>
        <w:jc w:val="both"/>
        <w:rPr>
          <w:rFonts w:ascii="Arial" w:hAnsi="Arial"/>
          <w:b/>
          <w:bCs/>
          <w:iCs/>
          <w:color w:val="000000"/>
          <w:lang w:eastAsia="en-GB"/>
        </w:rPr>
      </w:pPr>
      <w:r w:rsidRPr="001A66FD">
        <w:rPr>
          <w:rFonts w:ascii="Arial" w:hAnsi="Arial"/>
          <w:b/>
          <w:bCs/>
          <w:iCs/>
          <w:color w:val="000000"/>
          <w:lang w:eastAsia="en-GB"/>
        </w:rPr>
        <w:lastRenderedPageBreak/>
        <w:t xml:space="preserve">The application has been publicised by notice(s) in the vicinity of the site. </w:t>
      </w:r>
      <w:r w:rsidRPr="001A66FD">
        <w:rPr>
          <w:rFonts w:ascii="Arial" w:hAnsi="Arial"/>
          <w:b/>
          <w:color w:val="000000"/>
          <w:lang w:eastAsia="en-GB"/>
        </w:rPr>
        <w:t>It is respectfully requested that the notice(s) now be removed and responsibly disposed of to avoid harm to the appearance of the area</w:t>
      </w:r>
    </w:p>
    <w:p w14:paraId="60CF5B71" w14:textId="77777777" w:rsidR="00872404" w:rsidRDefault="00872404" w:rsidP="004311B3">
      <w:pPr>
        <w:rPr>
          <w:rFonts w:ascii="Arial" w:hAnsi="Arial"/>
          <w:b/>
          <w:sz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52"/>
      </w:tblGrid>
      <w:tr w:rsidR="00872404" w:rsidRPr="007A40AE" w14:paraId="52B0CF87" w14:textId="77777777" w:rsidTr="007A40AE">
        <w:tc>
          <w:tcPr>
            <w:tcW w:w="9854" w:type="dxa"/>
            <w:tcBorders>
              <w:top w:val="single" w:sz="12" w:space="0" w:color="auto"/>
              <w:left w:val="single" w:sz="12" w:space="0" w:color="auto"/>
              <w:bottom w:val="single" w:sz="12" w:space="0" w:color="auto"/>
              <w:right w:val="single" w:sz="12" w:space="0" w:color="auto"/>
            </w:tcBorders>
          </w:tcPr>
          <w:p w14:paraId="0DF3E083" w14:textId="77777777" w:rsidR="00872404" w:rsidRPr="007A40AE" w:rsidRDefault="00872404">
            <w:pPr>
              <w:autoSpaceDE w:val="0"/>
              <w:autoSpaceDN w:val="0"/>
              <w:adjustRightInd w:val="0"/>
              <w:rPr>
                <w:rFonts w:ascii="Arial" w:hAnsi="Arial" w:cs="Arial"/>
                <w:b/>
                <w:color w:val="000000"/>
              </w:rPr>
            </w:pPr>
            <w:r w:rsidRPr="007A40AE">
              <w:rPr>
                <w:rFonts w:ascii="Arial" w:hAnsi="Arial" w:cs="Arial"/>
                <w:b/>
              </w:rPr>
              <w:t>Details Reserved by Condition</w:t>
            </w:r>
          </w:p>
          <w:p w14:paraId="5FF8A8A0" w14:textId="77777777" w:rsidR="00872404" w:rsidRPr="007A40AE" w:rsidRDefault="00872404">
            <w:pPr>
              <w:autoSpaceDE w:val="0"/>
              <w:autoSpaceDN w:val="0"/>
              <w:adjustRightInd w:val="0"/>
              <w:rPr>
                <w:rFonts w:ascii="Arial" w:hAnsi="Arial" w:cs="Arial"/>
                <w:b/>
                <w:sz w:val="22"/>
                <w:szCs w:val="22"/>
                <w:highlight w:val="yellow"/>
              </w:rPr>
            </w:pPr>
          </w:p>
          <w:p w14:paraId="6169F450" w14:textId="77777777" w:rsidR="00872404" w:rsidRPr="007A40AE" w:rsidRDefault="00872404" w:rsidP="0044057E">
            <w:pPr>
              <w:autoSpaceDE w:val="0"/>
              <w:autoSpaceDN w:val="0"/>
              <w:adjustRightInd w:val="0"/>
              <w:ind w:left="720" w:hanging="720"/>
              <w:rPr>
                <w:rFonts w:ascii="Arial" w:hAnsi="Arial" w:cs="Arial"/>
                <w:b/>
              </w:rPr>
            </w:pPr>
            <w:r>
              <w:rPr>
                <w:rFonts w:ascii="Arial" w:hAnsi="Arial" w:cs="Arial"/>
                <w:b/>
                <w:bCs/>
              </w:rPr>
              <w:t>-</w:t>
            </w:r>
            <w:r>
              <w:rPr>
                <w:rFonts w:ascii="Arial" w:hAnsi="Arial" w:cs="Arial"/>
                <w:b/>
                <w:bCs/>
              </w:rPr>
              <w:tab/>
            </w:r>
            <w:r w:rsidRPr="007A40AE">
              <w:rPr>
                <w:rFonts w:ascii="Arial" w:hAnsi="Arial" w:cs="Arial"/>
                <w:b/>
                <w:bCs/>
              </w:rPr>
              <w:t>This permission has been granted subject to conditions. Some of the conditions may require you to submit further details.  These conditions normally contain the wording “</w:t>
            </w:r>
            <w:r w:rsidRPr="007A40AE">
              <w:rPr>
                <w:rFonts w:ascii="Arial" w:hAnsi="Arial" w:cs="Arial"/>
                <w:b/>
                <w:bCs/>
                <w:i/>
                <w:u w:val="single"/>
              </w:rPr>
              <w:t>submitted to and approved in writing by the Local Planning Authority</w:t>
            </w:r>
            <w:r w:rsidRPr="007A40AE">
              <w:rPr>
                <w:rFonts w:ascii="Arial" w:hAnsi="Arial" w:cs="Arial"/>
                <w:b/>
                <w:bCs/>
                <w:i/>
              </w:rPr>
              <w:t>”</w:t>
            </w:r>
            <w:r w:rsidRPr="007A40AE">
              <w:rPr>
                <w:rFonts w:ascii="Arial" w:hAnsi="Arial" w:cs="Arial"/>
                <w:b/>
                <w:bCs/>
              </w:rPr>
              <w:t>.</w:t>
            </w:r>
          </w:p>
          <w:p w14:paraId="38CE9A5F" w14:textId="77777777" w:rsidR="00872404" w:rsidRPr="007A40AE" w:rsidRDefault="00872404">
            <w:pPr>
              <w:autoSpaceDE w:val="0"/>
              <w:autoSpaceDN w:val="0"/>
              <w:adjustRightInd w:val="0"/>
              <w:rPr>
                <w:rFonts w:ascii="Arial" w:hAnsi="Arial" w:cs="Arial"/>
                <w:b/>
              </w:rPr>
            </w:pPr>
          </w:p>
          <w:p w14:paraId="69050B45" w14:textId="36E0B731" w:rsidR="00872404" w:rsidRPr="007A40AE" w:rsidRDefault="00872404" w:rsidP="0044057E">
            <w:pPr>
              <w:autoSpaceDE w:val="0"/>
              <w:autoSpaceDN w:val="0"/>
              <w:adjustRightInd w:val="0"/>
              <w:ind w:left="720" w:hanging="720"/>
              <w:rPr>
                <w:rFonts w:ascii="Arial" w:hAnsi="Arial" w:cs="Arial"/>
                <w:b/>
              </w:rPr>
            </w:pPr>
            <w:r>
              <w:rPr>
                <w:rFonts w:ascii="Arial" w:hAnsi="Arial" w:cs="Arial"/>
                <w:b/>
                <w:bCs/>
              </w:rPr>
              <w:t>-</w:t>
            </w:r>
            <w:r>
              <w:rPr>
                <w:rFonts w:ascii="Arial" w:hAnsi="Arial" w:cs="Arial"/>
                <w:b/>
                <w:bCs/>
              </w:rPr>
              <w:tab/>
            </w:r>
            <w:r w:rsidRPr="007A40AE">
              <w:rPr>
                <w:rFonts w:ascii="Arial" w:hAnsi="Arial" w:cs="Arial"/>
                <w:b/>
                <w:bCs/>
              </w:rPr>
              <w:t xml:space="preserve">You can apply online for approval of these details at the Planning Portals website at </w:t>
            </w:r>
            <w:hyperlink r:id="rId13" w:history="1">
              <w:r w:rsidRPr="007A40AE">
                <w:rPr>
                  <w:rStyle w:val="Hyperlink"/>
                  <w:rFonts w:ascii="Arial" w:hAnsi="Arial" w:cs="Arial"/>
                  <w:b/>
                  <w:bCs/>
                </w:rPr>
                <w:t>www.planningportal.gov.uk</w:t>
              </w:r>
            </w:hyperlink>
            <w:r w:rsidRPr="007A40AE">
              <w:rPr>
                <w:rFonts w:ascii="Arial" w:hAnsi="Arial" w:cs="Arial"/>
                <w:b/>
                <w:bCs/>
              </w:rPr>
              <w:t xml:space="preserve">.  Alternatively the forms and supporting guidance for submitting an application can be found online at </w:t>
            </w:r>
            <w:hyperlink r:id="rId14" w:history="1">
              <w:r w:rsidRPr="007A40AE">
                <w:rPr>
                  <w:rStyle w:val="Hyperlink"/>
                  <w:rFonts w:ascii="Arial" w:hAnsi="Arial" w:cs="Arial"/>
                  <w:b/>
                  <w:bCs/>
                </w:rPr>
                <w:t>www.kirklees.gov.uk/planning</w:t>
              </w:r>
            </w:hyperlink>
            <w:r w:rsidRPr="007A40AE">
              <w:rPr>
                <w:rFonts w:ascii="Arial" w:hAnsi="Arial" w:cs="Arial"/>
                <w:b/>
                <w:bCs/>
              </w:rPr>
              <w:t>.</w:t>
            </w:r>
          </w:p>
          <w:p w14:paraId="018E5154" w14:textId="77777777" w:rsidR="00872404" w:rsidRPr="007A40AE" w:rsidRDefault="00872404">
            <w:pPr>
              <w:autoSpaceDE w:val="0"/>
              <w:autoSpaceDN w:val="0"/>
              <w:adjustRightInd w:val="0"/>
              <w:ind w:left="426"/>
              <w:rPr>
                <w:rFonts w:ascii="Arial" w:hAnsi="Arial" w:cs="Arial"/>
                <w:b/>
              </w:rPr>
            </w:pPr>
          </w:p>
          <w:p w14:paraId="4BD2AF46" w14:textId="77777777" w:rsidR="00872404" w:rsidRPr="007A40AE" w:rsidRDefault="00872404" w:rsidP="0044057E">
            <w:pPr>
              <w:autoSpaceDE w:val="0"/>
              <w:autoSpaceDN w:val="0"/>
              <w:adjustRightInd w:val="0"/>
              <w:ind w:left="720" w:hanging="720"/>
              <w:rPr>
                <w:rFonts w:ascii="Arial" w:hAnsi="Arial" w:cs="Arial"/>
                <w:b/>
              </w:rPr>
            </w:pPr>
            <w:r>
              <w:rPr>
                <w:rFonts w:ascii="Arial" w:hAnsi="Arial" w:cs="Arial"/>
                <w:b/>
              </w:rPr>
              <w:t>-</w:t>
            </w:r>
            <w:r>
              <w:rPr>
                <w:rFonts w:ascii="Arial" w:hAnsi="Arial" w:cs="Arial"/>
                <w:b/>
              </w:rPr>
              <w:tab/>
            </w:r>
            <w:r w:rsidRPr="007A40AE">
              <w:rPr>
                <w:rFonts w:ascii="Arial" w:hAnsi="Arial" w:cs="Arial"/>
                <w:b/>
              </w:rPr>
              <w:t>This Authority recognises the need to ensure that you are able to develop the site as effectively and flexibly as possible. However, at the same time it must ensure that development is in accordance with the terms of the planning conditions and legal agreement and the expectations of elected members and local residents set through the decision process.</w:t>
            </w:r>
          </w:p>
          <w:p w14:paraId="6C9AED44" w14:textId="77777777" w:rsidR="00872404" w:rsidRPr="007A40AE" w:rsidRDefault="00872404">
            <w:pPr>
              <w:autoSpaceDE w:val="0"/>
              <w:autoSpaceDN w:val="0"/>
              <w:adjustRightInd w:val="0"/>
              <w:ind w:left="426" w:hanging="426"/>
              <w:rPr>
                <w:rFonts w:ascii="Arial" w:hAnsi="Arial" w:cs="Arial"/>
                <w:b/>
              </w:rPr>
            </w:pPr>
          </w:p>
          <w:p w14:paraId="0E8D3108" w14:textId="77777777" w:rsidR="00872404" w:rsidRPr="007A40AE" w:rsidRDefault="00872404" w:rsidP="0044057E">
            <w:pPr>
              <w:autoSpaceDE w:val="0"/>
              <w:autoSpaceDN w:val="0"/>
              <w:adjustRightInd w:val="0"/>
              <w:ind w:left="720" w:hanging="720"/>
              <w:rPr>
                <w:rFonts w:ascii="Arial" w:hAnsi="Arial" w:cs="Arial"/>
                <w:b/>
              </w:rPr>
            </w:pPr>
            <w:r>
              <w:rPr>
                <w:rFonts w:ascii="Arial" w:hAnsi="Arial" w:cs="Arial"/>
                <w:b/>
              </w:rPr>
              <w:t>-</w:t>
            </w:r>
            <w:r>
              <w:rPr>
                <w:rFonts w:ascii="Arial" w:hAnsi="Arial" w:cs="Arial"/>
                <w:b/>
              </w:rPr>
              <w:tab/>
            </w:r>
            <w:r w:rsidRPr="007A40AE">
              <w:rPr>
                <w:rFonts w:ascii="Arial" w:hAnsi="Arial" w:cs="Arial"/>
                <w:b/>
              </w:rPr>
              <w:t xml:space="preserve">You should note the triggers for compliance with the conditions of this planning permission. This Authority is committed to processing applications to discharge conditions in a timely manner. It is important to ensure that submissions are made as far in advance of the trigger to allow time for adequate consultation, discussion and in some circumstances publicity. </w:t>
            </w:r>
          </w:p>
          <w:p w14:paraId="599EC5F7" w14:textId="77777777" w:rsidR="00872404" w:rsidRPr="007A40AE" w:rsidRDefault="00872404">
            <w:pPr>
              <w:autoSpaceDE w:val="0"/>
              <w:autoSpaceDN w:val="0"/>
              <w:adjustRightInd w:val="0"/>
              <w:ind w:left="426" w:hanging="426"/>
              <w:rPr>
                <w:rFonts w:ascii="Arial" w:hAnsi="Arial" w:cs="Arial"/>
                <w:b/>
              </w:rPr>
            </w:pPr>
          </w:p>
          <w:p w14:paraId="3B1D6834" w14:textId="77777777" w:rsidR="00872404" w:rsidRPr="007A40AE" w:rsidRDefault="00872404" w:rsidP="0044057E">
            <w:pPr>
              <w:autoSpaceDE w:val="0"/>
              <w:autoSpaceDN w:val="0"/>
              <w:adjustRightInd w:val="0"/>
              <w:ind w:left="720" w:hanging="720"/>
              <w:rPr>
                <w:rFonts w:ascii="Arial" w:hAnsi="Arial" w:cs="Arial"/>
                <w:b/>
              </w:rPr>
            </w:pPr>
            <w:r>
              <w:rPr>
                <w:rFonts w:ascii="Arial" w:hAnsi="Arial" w:cs="Arial"/>
                <w:b/>
              </w:rPr>
              <w:t>-</w:t>
            </w:r>
            <w:r>
              <w:rPr>
                <w:rFonts w:ascii="Arial" w:hAnsi="Arial" w:cs="Arial"/>
                <w:b/>
              </w:rPr>
              <w:tab/>
            </w:r>
            <w:r w:rsidRPr="007A40AE">
              <w:rPr>
                <w:rFonts w:ascii="Arial" w:hAnsi="Arial" w:cs="Arial"/>
                <w:b/>
              </w:rPr>
              <w:t xml:space="preserve">It is important that applications to discharge conditions are accompanied by sufficient information to enable this Authority and its consultees to fully consider and determine the proposals. Whilst officers will endeavour to negotiate solutions, failure to provide a comprehensive submission may result in delay and refusal of the application. </w:t>
            </w:r>
          </w:p>
          <w:p w14:paraId="723353B3" w14:textId="77777777" w:rsidR="00872404" w:rsidRPr="007A40AE" w:rsidRDefault="00872404">
            <w:pPr>
              <w:autoSpaceDE w:val="0"/>
              <w:autoSpaceDN w:val="0"/>
              <w:adjustRightInd w:val="0"/>
              <w:ind w:left="426" w:hanging="426"/>
              <w:rPr>
                <w:rFonts w:ascii="Arial" w:hAnsi="Arial" w:cs="Arial"/>
                <w:b/>
              </w:rPr>
            </w:pPr>
          </w:p>
          <w:p w14:paraId="361EFECD" w14:textId="77777777" w:rsidR="00872404" w:rsidRDefault="00872404" w:rsidP="0044057E">
            <w:pPr>
              <w:autoSpaceDE w:val="0"/>
              <w:autoSpaceDN w:val="0"/>
              <w:adjustRightInd w:val="0"/>
              <w:rPr>
                <w:rFonts w:ascii="Arial" w:hAnsi="Arial" w:cs="Arial"/>
              </w:rPr>
            </w:pPr>
            <w:r>
              <w:rPr>
                <w:rFonts w:ascii="Arial" w:hAnsi="Arial" w:cs="Arial"/>
                <w:b/>
              </w:rPr>
              <w:t>-</w:t>
            </w:r>
            <w:r>
              <w:rPr>
                <w:rFonts w:ascii="Arial" w:hAnsi="Arial" w:cs="Arial"/>
                <w:b/>
              </w:rPr>
              <w:tab/>
            </w:r>
            <w:r w:rsidRPr="007A40AE">
              <w:rPr>
                <w:rFonts w:ascii="Arial" w:hAnsi="Arial" w:cs="Arial"/>
                <w:b/>
              </w:rPr>
              <w:t xml:space="preserve">If you commence work without discharging conditions you are at risk of </w:t>
            </w:r>
            <w:r>
              <w:rPr>
                <w:rFonts w:ascii="Arial" w:hAnsi="Arial" w:cs="Arial"/>
                <w:b/>
              </w:rPr>
              <w:tab/>
            </w:r>
            <w:r w:rsidRPr="007A40AE">
              <w:rPr>
                <w:rFonts w:ascii="Arial" w:hAnsi="Arial" w:cs="Arial"/>
                <w:b/>
              </w:rPr>
              <w:t xml:space="preserve">enforcement action and invalidating your permission if the planning </w:t>
            </w:r>
            <w:r>
              <w:rPr>
                <w:rFonts w:ascii="Arial" w:hAnsi="Arial" w:cs="Arial"/>
                <w:b/>
              </w:rPr>
              <w:tab/>
            </w:r>
            <w:r w:rsidRPr="007A40AE">
              <w:rPr>
                <w:rFonts w:ascii="Arial" w:hAnsi="Arial" w:cs="Arial"/>
                <w:b/>
              </w:rPr>
              <w:t>condition is a pre commencement condition.</w:t>
            </w:r>
          </w:p>
          <w:p w14:paraId="5E21D337" w14:textId="77777777" w:rsidR="00872404" w:rsidRDefault="00872404">
            <w:pPr>
              <w:autoSpaceDE w:val="0"/>
              <w:autoSpaceDN w:val="0"/>
              <w:adjustRightInd w:val="0"/>
              <w:ind w:left="426"/>
              <w:rPr>
                <w:rFonts w:ascii="Arial" w:hAnsi="Arial" w:cs="Arial"/>
                <w:color w:val="000000"/>
              </w:rPr>
            </w:pPr>
          </w:p>
        </w:tc>
      </w:tr>
    </w:tbl>
    <w:p w14:paraId="6416531F" w14:textId="77777777" w:rsidR="00872404" w:rsidRDefault="00872404" w:rsidP="004311B3">
      <w:pPr>
        <w:rPr>
          <w:rFonts w:ascii="Arial" w:hAnsi="Arial"/>
          <w:b/>
          <w:sz w:val="22"/>
        </w:rPr>
      </w:pPr>
    </w:p>
    <w:p w14:paraId="477FA760" w14:textId="4D1066AE" w:rsidR="00872404" w:rsidRDefault="007F19B9" w:rsidP="004311B3">
      <w:pPr>
        <w:rPr>
          <w:rFonts w:ascii="Arial" w:hAnsi="Arial"/>
          <w:b/>
          <w:sz w:val="22"/>
        </w:rPr>
      </w:pPr>
      <w:r>
        <w:rPr>
          <w:rFonts w:ascii="Arial" w:hAnsi="Arial"/>
          <w:b/>
          <w:sz w:val="22"/>
        </w:rPr>
        <w:br w:type="page"/>
      </w:r>
    </w:p>
    <w:p w14:paraId="0744E2EC" w14:textId="77777777" w:rsidR="00872404" w:rsidRPr="00481964" w:rsidRDefault="00872404" w:rsidP="00173BDB">
      <w:pPr>
        <w:pBdr>
          <w:top w:val="single" w:sz="12" w:space="1" w:color="auto"/>
          <w:left w:val="single" w:sz="12" w:space="1" w:color="auto"/>
          <w:bottom w:val="single" w:sz="12" w:space="1" w:color="auto"/>
          <w:right w:val="single" w:sz="12" w:space="1" w:color="auto"/>
        </w:pBdr>
        <w:rPr>
          <w:rFonts w:ascii="Arial" w:hAnsi="Arial" w:cs="Arial"/>
          <w:b/>
          <w:bCs/>
        </w:rPr>
      </w:pPr>
      <w:r w:rsidRPr="00481964">
        <w:rPr>
          <w:rFonts w:ascii="Arial" w:hAnsi="Arial" w:cs="Arial"/>
          <w:b/>
          <w:bCs/>
        </w:rPr>
        <w:t>Appeals to the Secretary of State</w:t>
      </w:r>
    </w:p>
    <w:p w14:paraId="78C2316D" w14:textId="77777777" w:rsidR="00872404" w:rsidRPr="00481964" w:rsidRDefault="00872404" w:rsidP="00173BDB">
      <w:pPr>
        <w:pBdr>
          <w:top w:val="single" w:sz="12" w:space="1" w:color="auto"/>
          <w:left w:val="single" w:sz="12" w:space="1" w:color="auto"/>
          <w:bottom w:val="single" w:sz="12" w:space="1" w:color="auto"/>
          <w:right w:val="single" w:sz="12" w:space="1" w:color="auto"/>
        </w:pBdr>
        <w:ind w:left="720" w:hanging="720"/>
        <w:rPr>
          <w:rFonts w:ascii="Arial" w:hAnsi="Arial" w:cs="Arial"/>
          <w:b/>
        </w:rPr>
      </w:pPr>
      <w:r w:rsidRPr="00481964">
        <w:rPr>
          <w:rFonts w:ascii="Arial" w:hAnsi="Arial" w:cs="Arial"/>
          <w:b/>
        </w:rPr>
        <w:t xml:space="preserve"> -</w:t>
      </w:r>
      <w:r w:rsidRPr="00481964">
        <w:rPr>
          <w:rFonts w:ascii="Arial" w:hAnsi="Arial" w:cs="Arial"/>
          <w:b/>
        </w:rPr>
        <w:tab/>
        <w:t>If you are aggrieved by the decision of your local planning authority to refuse permission for the proposed development or to grant it subject to conditions, then you can appeal to the Secretary of State under section 78 of the Town and Country Planning Act 1990.</w:t>
      </w:r>
    </w:p>
    <w:p w14:paraId="4CEF1D8E" w14:textId="77777777" w:rsidR="00872404" w:rsidRPr="00481964" w:rsidRDefault="00872404" w:rsidP="00173BDB">
      <w:pPr>
        <w:pBdr>
          <w:top w:val="single" w:sz="12" w:space="1" w:color="auto"/>
          <w:left w:val="single" w:sz="12" w:space="1" w:color="auto"/>
          <w:bottom w:val="single" w:sz="12" w:space="1" w:color="auto"/>
          <w:right w:val="single" w:sz="12" w:space="1" w:color="auto"/>
        </w:pBdr>
        <w:autoSpaceDE w:val="0"/>
        <w:autoSpaceDN w:val="0"/>
        <w:adjustRightInd w:val="0"/>
        <w:ind w:left="720" w:hanging="720"/>
        <w:rPr>
          <w:rFonts w:ascii="Arial" w:hAnsi="Arial" w:cs="Arial"/>
          <w:b/>
          <w:lang w:eastAsia="en-GB"/>
        </w:rPr>
      </w:pPr>
      <w:r w:rsidRPr="00481964">
        <w:rPr>
          <w:rFonts w:ascii="Arial" w:hAnsi="Arial" w:cs="Arial"/>
          <w:b/>
          <w:lang w:eastAsia="en-GB"/>
        </w:rPr>
        <w:t xml:space="preserve">- </w:t>
      </w:r>
      <w:r w:rsidRPr="00481964">
        <w:rPr>
          <w:rFonts w:ascii="Arial" w:hAnsi="Arial" w:cs="Arial"/>
          <w:b/>
          <w:lang w:eastAsia="en-GB"/>
        </w:rPr>
        <w:tab/>
        <w:t>If an enforcement notice is served relating to the same or substantially the same land and development as in your application and if you want to appeal against your Local Planning Authority’s decision on your application, then you must do so within:</w:t>
      </w:r>
    </w:p>
    <w:p w14:paraId="0C4DAD47" w14:textId="77777777" w:rsidR="00872404" w:rsidRPr="00481964" w:rsidRDefault="00872404" w:rsidP="00173BDB">
      <w:pPr>
        <w:pBdr>
          <w:top w:val="single" w:sz="12" w:space="1" w:color="auto"/>
          <w:left w:val="single" w:sz="12" w:space="1" w:color="auto"/>
          <w:bottom w:val="single" w:sz="12" w:space="1" w:color="auto"/>
          <w:right w:val="single" w:sz="12" w:space="1" w:color="auto"/>
        </w:pBdr>
        <w:autoSpaceDE w:val="0"/>
        <w:autoSpaceDN w:val="0"/>
        <w:adjustRightInd w:val="0"/>
        <w:ind w:left="720" w:hanging="720"/>
        <w:rPr>
          <w:rFonts w:ascii="Arial" w:hAnsi="Arial" w:cs="Arial"/>
          <w:b/>
        </w:rPr>
      </w:pPr>
      <w:r w:rsidRPr="00481964">
        <w:rPr>
          <w:rFonts w:ascii="Arial" w:hAnsi="Arial" w:cs="Arial"/>
          <w:b/>
          <w:lang w:eastAsia="en-GB"/>
        </w:rPr>
        <w:t xml:space="preserve"> </w:t>
      </w:r>
      <w:r w:rsidRPr="00481964">
        <w:rPr>
          <w:rFonts w:ascii="Arial" w:hAnsi="Arial" w:cs="Arial"/>
          <w:b/>
          <w:lang w:eastAsia="en-GB"/>
        </w:rPr>
        <w:tab/>
        <w:t>28 days of the date of service of the enforcement notice, or within 6 months of the date of this notice, whichever period expires earlier.</w:t>
      </w:r>
    </w:p>
    <w:p w14:paraId="1AFD245C" w14:textId="77777777" w:rsidR="00872404" w:rsidRPr="00481964" w:rsidRDefault="00872404" w:rsidP="00173BDB">
      <w:pPr>
        <w:pBdr>
          <w:top w:val="single" w:sz="12" w:space="1" w:color="auto"/>
          <w:left w:val="single" w:sz="12" w:space="1" w:color="auto"/>
          <w:bottom w:val="single" w:sz="12" w:space="1" w:color="auto"/>
          <w:right w:val="single" w:sz="12" w:space="1" w:color="auto"/>
        </w:pBdr>
        <w:ind w:left="720" w:hanging="720"/>
        <w:rPr>
          <w:rFonts w:ascii="Arial" w:hAnsi="Arial" w:cs="Arial"/>
          <w:b/>
        </w:rPr>
      </w:pPr>
      <w:r w:rsidRPr="00481964">
        <w:rPr>
          <w:rFonts w:ascii="Arial" w:hAnsi="Arial" w:cs="Arial"/>
          <w:b/>
        </w:rPr>
        <w:t xml:space="preserve"> -</w:t>
      </w:r>
      <w:r w:rsidRPr="00481964">
        <w:rPr>
          <w:rFonts w:ascii="Arial" w:hAnsi="Arial" w:cs="Arial"/>
          <w:b/>
        </w:rPr>
        <w:tab/>
        <w:t>If you want to appeal against your local planning authority’s decision then you must do so within 6 months of the date of this notice.</w:t>
      </w:r>
    </w:p>
    <w:p w14:paraId="7C688D4C" w14:textId="76ED0584" w:rsidR="00872404" w:rsidRPr="00481964" w:rsidRDefault="00872404" w:rsidP="00173BDB">
      <w:pPr>
        <w:pBdr>
          <w:top w:val="single" w:sz="12" w:space="1" w:color="auto"/>
          <w:left w:val="single" w:sz="12" w:space="1" w:color="auto"/>
          <w:bottom w:val="single" w:sz="12" w:space="1" w:color="auto"/>
          <w:right w:val="single" w:sz="12" w:space="1" w:color="auto"/>
        </w:pBdr>
        <w:ind w:left="720" w:hanging="720"/>
        <w:rPr>
          <w:rFonts w:ascii="Arial" w:hAnsi="Arial" w:cs="Arial"/>
        </w:rPr>
      </w:pPr>
      <w:r w:rsidRPr="00481964">
        <w:rPr>
          <w:rFonts w:ascii="Arial" w:hAnsi="Arial" w:cs="Arial"/>
          <w:b/>
        </w:rPr>
        <w:t xml:space="preserve"> -</w:t>
      </w:r>
      <w:r w:rsidRPr="00481964">
        <w:rPr>
          <w:rFonts w:ascii="Arial" w:hAnsi="Arial" w:cs="Arial"/>
          <w:b/>
        </w:rPr>
        <w:tab/>
        <w:t xml:space="preserve">Appeals must be made using a form which you can get from the Secretary of State at Temple Quay House, 2 The Square, Temple Quay, Bristol BS1 6PN (Tel: 0303 444 5000) or online at </w:t>
      </w:r>
      <w:hyperlink r:id="rId15" w:history="1">
        <w:r w:rsidRPr="00481964">
          <w:rPr>
            <w:rStyle w:val="Hyperlink"/>
            <w:rFonts w:ascii="Arial" w:hAnsi="Arial" w:cs="Arial"/>
            <w:b/>
            <w:color w:val="auto"/>
          </w:rPr>
          <w:t>https://www.gov.uk/planning-inspectorate</w:t>
        </w:r>
      </w:hyperlink>
      <w:r w:rsidRPr="00481964">
        <w:rPr>
          <w:rFonts w:ascii="Arial" w:hAnsi="Arial" w:cs="Arial"/>
          <w:b/>
        </w:rPr>
        <w:t xml:space="preserve">. Further information on the Planning Appeal process can be found online at the Planning Inspectorates website </w:t>
      </w:r>
      <w:hyperlink r:id="rId16" w:history="1">
        <w:r w:rsidRPr="00481964">
          <w:rPr>
            <w:rStyle w:val="Hyperlink"/>
            <w:rFonts w:ascii="Arial" w:hAnsi="Arial" w:cs="Arial"/>
            <w:b/>
          </w:rPr>
          <w:t>https://www.gov.uk/government/organisations/planning-inspectorate</w:t>
        </w:r>
      </w:hyperlink>
      <w:r w:rsidRPr="00481964">
        <w:rPr>
          <w:rFonts w:ascii="Arial" w:hAnsi="Arial" w:cs="Arial"/>
          <w:b/>
        </w:rPr>
        <w:t>.</w:t>
      </w:r>
    </w:p>
    <w:p w14:paraId="52019F6F" w14:textId="77777777" w:rsidR="00872404" w:rsidRPr="00481964" w:rsidRDefault="00872404" w:rsidP="00173BDB">
      <w:pPr>
        <w:pBdr>
          <w:top w:val="single" w:sz="12" w:space="1" w:color="auto"/>
          <w:left w:val="single" w:sz="12" w:space="1" w:color="auto"/>
          <w:bottom w:val="single" w:sz="12" w:space="1" w:color="auto"/>
          <w:right w:val="single" w:sz="12" w:space="1" w:color="auto"/>
        </w:pBdr>
        <w:ind w:left="720" w:hanging="720"/>
        <w:rPr>
          <w:rFonts w:ascii="Arial" w:hAnsi="Arial" w:cs="Arial"/>
          <w:b/>
        </w:rPr>
      </w:pPr>
      <w:r w:rsidRPr="00481964">
        <w:rPr>
          <w:rFonts w:ascii="Arial" w:hAnsi="Arial" w:cs="Arial"/>
          <w:b/>
        </w:rPr>
        <w:t>-</w:t>
      </w:r>
      <w:r w:rsidRPr="00481964">
        <w:rPr>
          <w:rFonts w:ascii="Arial" w:hAnsi="Arial" w:cs="Arial"/>
          <w:b/>
        </w:rPr>
        <w:tab/>
        <w:t>You must use the correct Planning Appeal Form when making your appeal. If requesting forms from the Planning Inspectorate, please state the type of application that the appeal relates to so they can send you the appeal form you require.</w:t>
      </w:r>
    </w:p>
    <w:p w14:paraId="234E44DC" w14:textId="77777777" w:rsidR="00872404" w:rsidRPr="00481964" w:rsidRDefault="00872404" w:rsidP="00173BDB">
      <w:pPr>
        <w:pBdr>
          <w:top w:val="single" w:sz="12" w:space="1" w:color="auto"/>
          <w:left w:val="single" w:sz="12" w:space="1" w:color="auto"/>
          <w:bottom w:val="single" w:sz="12" w:space="1" w:color="auto"/>
          <w:right w:val="single" w:sz="12" w:space="1" w:color="auto"/>
        </w:pBdr>
        <w:ind w:left="720" w:hanging="720"/>
        <w:rPr>
          <w:rFonts w:ascii="Arial" w:hAnsi="Arial" w:cs="Arial"/>
          <w:b/>
        </w:rPr>
      </w:pPr>
      <w:r w:rsidRPr="00481964">
        <w:rPr>
          <w:rFonts w:ascii="Arial" w:hAnsi="Arial" w:cs="Arial"/>
          <w:b/>
        </w:rPr>
        <w:t xml:space="preserve"> -</w:t>
      </w:r>
      <w:r w:rsidRPr="00481964">
        <w:rPr>
          <w:rFonts w:ascii="Arial" w:hAnsi="Arial" w:cs="Arial"/>
          <w:b/>
        </w:rPr>
        <w:tab/>
        <w:t>The Secretary of State can allow a longer period for giving notice of an appeal, but he will not normally be prepared to use this power unless there are special circumstances which excuse the delay in giving notice of appeal.</w:t>
      </w:r>
    </w:p>
    <w:p w14:paraId="0CB4761B" w14:textId="77777777" w:rsidR="00872404" w:rsidRPr="00481964" w:rsidRDefault="00872404" w:rsidP="00173BDB">
      <w:pPr>
        <w:pBdr>
          <w:top w:val="single" w:sz="12" w:space="1" w:color="auto"/>
          <w:left w:val="single" w:sz="12" w:space="1" w:color="auto"/>
          <w:bottom w:val="single" w:sz="12" w:space="1" w:color="auto"/>
          <w:right w:val="single" w:sz="12" w:space="1" w:color="auto"/>
        </w:pBdr>
        <w:ind w:left="720" w:hanging="720"/>
        <w:rPr>
          <w:rFonts w:ascii="Arial" w:hAnsi="Arial" w:cs="Arial"/>
          <w:b/>
        </w:rPr>
      </w:pPr>
      <w:r w:rsidRPr="00481964">
        <w:rPr>
          <w:rFonts w:ascii="Arial" w:hAnsi="Arial" w:cs="Arial"/>
          <w:b/>
        </w:rPr>
        <w:t xml:space="preserve"> -</w:t>
      </w:r>
      <w:r w:rsidRPr="00481964">
        <w:rPr>
          <w:rFonts w:ascii="Arial" w:hAnsi="Arial" w:cs="Arial"/>
          <w:b/>
        </w:rPr>
        <w:tab/>
        <w:t>The Secretary of State need not consider an appeal if it seems to him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w:t>
      </w:r>
    </w:p>
    <w:p w14:paraId="0223968B" w14:textId="77777777" w:rsidR="00872404" w:rsidRPr="00481964" w:rsidRDefault="00872404" w:rsidP="00173BDB">
      <w:pPr>
        <w:pBdr>
          <w:top w:val="single" w:sz="12" w:space="1" w:color="auto"/>
          <w:left w:val="single" w:sz="12" w:space="1" w:color="auto"/>
          <w:bottom w:val="single" w:sz="12" w:space="1" w:color="auto"/>
          <w:right w:val="single" w:sz="12" w:space="1" w:color="auto"/>
        </w:pBdr>
        <w:ind w:left="720" w:hanging="720"/>
        <w:rPr>
          <w:rFonts w:ascii="Arial" w:hAnsi="Arial" w:cs="Arial"/>
          <w:b/>
        </w:rPr>
      </w:pPr>
      <w:r w:rsidRPr="00481964">
        <w:rPr>
          <w:rFonts w:ascii="Arial" w:hAnsi="Arial" w:cs="Arial"/>
          <w:b/>
        </w:rPr>
        <w:t>-</w:t>
      </w:r>
      <w:r w:rsidRPr="00481964">
        <w:rPr>
          <w:rFonts w:ascii="Arial" w:hAnsi="Arial" w:cs="Arial"/>
          <w:b/>
        </w:rPr>
        <w:tab/>
        <w:t>In practice, the Secretary of State does not refuse to consider appeals solely because the local planning authority based their decision on a direction given by him.</w:t>
      </w:r>
    </w:p>
    <w:p w14:paraId="2A5316D5" w14:textId="77777777" w:rsidR="00872404" w:rsidRPr="00481964" w:rsidRDefault="00872404" w:rsidP="00173BDB">
      <w:pPr>
        <w:pBdr>
          <w:top w:val="single" w:sz="12" w:space="1" w:color="auto"/>
          <w:left w:val="single" w:sz="12" w:space="1" w:color="auto"/>
          <w:bottom w:val="single" w:sz="12" w:space="1" w:color="auto"/>
          <w:right w:val="single" w:sz="12" w:space="1" w:color="auto"/>
        </w:pBdr>
        <w:rPr>
          <w:rFonts w:ascii="Arial" w:hAnsi="Arial" w:cs="Arial"/>
          <w:b/>
          <w:bCs/>
        </w:rPr>
      </w:pPr>
    </w:p>
    <w:p w14:paraId="509FB608" w14:textId="77777777" w:rsidR="00872404" w:rsidRPr="00481964" w:rsidRDefault="00872404" w:rsidP="00173BDB">
      <w:pPr>
        <w:pBdr>
          <w:top w:val="single" w:sz="12" w:space="1" w:color="auto"/>
          <w:left w:val="single" w:sz="12" w:space="1" w:color="auto"/>
          <w:bottom w:val="single" w:sz="12" w:space="1" w:color="auto"/>
          <w:right w:val="single" w:sz="12" w:space="1" w:color="auto"/>
        </w:pBdr>
        <w:rPr>
          <w:rFonts w:ascii="Arial" w:hAnsi="Arial" w:cs="Arial"/>
          <w:b/>
          <w:bCs/>
        </w:rPr>
      </w:pPr>
      <w:r w:rsidRPr="00481964">
        <w:rPr>
          <w:rFonts w:ascii="Arial" w:hAnsi="Arial" w:cs="Arial"/>
          <w:b/>
          <w:bCs/>
        </w:rPr>
        <w:t>Please note, only the applicant possesses the right of appeal.</w:t>
      </w:r>
    </w:p>
    <w:p w14:paraId="1A173AC8" w14:textId="77777777" w:rsidR="00872404" w:rsidRPr="00481964" w:rsidRDefault="00872404" w:rsidP="00173BDB">
      <w:pPr>
        <w:pBdr>
          <w:top w:val="single" w:sz="12" w:space="1" w:color="auto"/>
          <w:left w:val="single" w:sz="12" w:space="1" w:color="auto"/>
          <w:bottom w:val="single" w:sz="12" w:space="1" w:color="auto"/>
          <w:right w:val="single" w:sz="12" w:space="1" w:color="auto"/>
        </w:pBdr>
        <w:rPr>
          <w:rFonts w:ascii="Arial" w:hAnsi="Arial" w:cs="Arial"/>
          <w:b/>
          <w:bCs/>
        </w:rPr>
      </w:pPr>
    </w:p>
    <w:p w14:paraId="0836D763" w14:textId="77777777" w:rsidR="00872404" w:rsidRPr="00481964" w:rsidRDefault="00872404" w:rsidP="00173BDB">
      <w:pPr>
        <w:pBdr>
          <w:top w:val="single" w:sz="12" w:space="1" w:color="auto"/>
          <w:left w:val="single" w:sz="12" w:space="1" w:color="auto"/>
          <w:bottom w:val="single" w:sz="12" w:space="1" w:color="auto"/>
          <w:right w:val="single" w:sz="12" w:space="1" w:color="auto"/>
        </w:pBdr>
        <w:rPr>
          <w:rFonts w:ascii="Arial" w:hAnsi="Arial" w:cs="Arial"/>
          <w:b/>
        </w:rPr>
      </w:pPr>
      <w:r w:rsidRPr="00481964">
        <w:rPr>
          <w:rFonts w:ascii="Arial" w:hAnsi="Arial" w:cs="Arial"/>
          <w:b/>
          <w:bCs/>
        </w:rPr>
        <w:t>Purchase Notices</w:t>
      </w:r>
    </w:p>
    <w:p w14:paraId="3AF1A471" w14:textId="77777777" w:rsidR="00872404" w:rsidRPr="00481964" w:rsidRDefault="00872404" w:rsidP="00173BDB">
      <w:pPr>
        <w:pBdr>
          <w:top w:val="single" w:sz="12" w:space="1" w:color="auto"/>
          <w:left w:val="single" w:sz="12" w:space="1" w:color="auto"/>
          <w:bottom w:val="single" w:sz="12" w:space="1" w:color="auto"/>
          <w:right w:val="single" w:sz="12" w:space="1" w:color="auto"/>
        </w:pBdr>
        <w:ind w:left="720" w:hanging="720"/>
        <w:rPr>
          <w:rFonts w:ascii="Arial" w:hAnsi="Arial" w:cs="Arial"/>
          <w:b/>
        </w:rPr>
      </w:pPr>
      <w:r w:rsidRPr="00481964">
        <w:rPr>
          <w:rFonts w:ascii="Arial" w:hAnsi="Arial" w:cs="Arial"/>
          <w:b/>
        </w:rPr>
        <w:t>-</w:t>
      </w:r>
      <w:r w:rsidRPr="00481964">
        <w:rPr>
          <w:rFonts w:ascii="Arial" w:hAnsi="Arial" w:cs="Arial"/>
          <w:b/>
        </w:rPr>
        <w:tab/>
        <w:t>If either the local planning authority or the Secretary of State refuses permission to develop land or grants it subject to conditions, the owner may claim that he can neither put the land to a reasonably beneficial use in its existing state nor render the land capable of a reasonably beneficial use by the carrying out of any development which has been or would be permitted.</w:t>
      </w:r>
    </w:p>
    <w:p w14:paraId="633E54B9" w14:textId="77777777" w:rsidR="00872404" w:rsidRPr="00481964" w:rsidRDefault="00872404" w:rsidP="00173BDB">
      <w:pPr>
        <w:pBdr>
          <w:top w:val="single" w:sz="12" w:space="1" w:color="auto"/>
          <w:left w:val="single" w:sz="12" w:space="1" w:color="auto"/>
          <w:bottom w:val="single" w:sz="12" w:space="1" w:color="auto"/>
          <w:right w:val="single" w:sz="12" w:space="1" w:color="auto"/>
        </w:pBdr>
        <w:autoSpaceDE w:val="0"/>
        <w:autoSpaceDN w:val="0"/>
        <w:adjustRightInd w:val="0"/>
        <w:rPr>
          <w:rFonts w:ascii="Arial" w:hAnsi="Arial" w:cs="Arial"/>
          <w:b/>
        </w:rPr>
      </w:pPr>
      <w:r w:rsidRPr="00481964">
        <w:rPr>
          <w:rFonts w:ascii="Arial" w:hAnsi="Arial" w:cs="Arial"/>
          <w:b/>
        </w:rPr>
        <w:t>In these circumstances, the owner may serve a purchase notice on the Council. This notice will require the Council to purchase his interest in the land in accordance with the provisions of Part VI of the Town and Country Planning Act 1990.</w:t>
      </w:r>
    </w:p>
    <w:p w14:paraId="69451698" w14:textId="77777777" w:rsidR="00872404" w:rsidRDefault="00872404" w:rsidP="00A662D4">
      <w:pPr>
        <w:autoSpaceDE w:val="0"/>
        <w:autoSpaceDN w:val="0"/>
        <w:adjustRightInd w:val="0"/>
        <w:rPr>
          <w:rFonts w:ascii="Arial" w:hAnsi="Arial" w:cs="Arial"/>
          <w:lang w:eastAsia="en-GB"/>
        </w:rPr>
      </w:pPr>
    </w:p>
    <w:p w14:paraId="1A80B9CF" w14:textId="77777777" w:rsidR="00872404" w:rsidRPr="00AB38A6" w:rsidRDefault="00872404" w:rsidP="006D4B0A">
      <w:pPr>
        <w:pBdr>
          <w:top w:val="single" w:sz="12" w:space="1" w:color="auto"/>
          <w:left w:val="single" w:sz="12" w:space="4" w:color="auto"/>
          <w:bottom w:val="single" w:sz="12" w:space="1" w:color="auto"/>
          <w:right w:val="single" w:sz="12" w:space="4" w:color="auto"/>
        </w:pBdr>
        <w:autoSpaceDE w:val="0"/>
        <w:autoSpaceDN w:val="0"/>
        <w:rPr>
          <w:rFonts w:ascii="Arial" w:hAnsi="Arial" w:cs="Arial"/>
          <w:b/>
          <w:bCs/>
        </w:rPr>
      </w:pPr>
      <w:r w:rsidRPr="00AB38A6">
        <w:rPr>
          <w:rFonts w:ascii="Arial" w:hAnsi="Arial" w:cs="Arial"/>
          <w:b/>
          <w:bCs/>
        </w:rPr>
        <w:t>It is the applicant's responsibility to find out whether any works approved by this planning permission, which involve excavating or working near public highway and any highway structures including retaining walls, will require written approval from the Council’s Highways Structures Section. Please contact the Highways Structures S</w:t>
      </w:r>
      <w:r>
        <w:rPr>
          <w:rFonts w:ascii="Arial" w:hAnsi="Arial" w:cs="Arial"/>
          <w:b/>
          <w:bCs/>
        </w:rPr>
        <w:t xml:space="preserve">ection on Tel No. 01484-221000 Ext </w:t>
      </w:r>
      <w:r>
        <w:rPr>
          <w:rFonts w:ascii="Arial" w:hAnsi="Arial" w:cs="Arial"/>
          <w:b/>
        </w:rPr>
        <w:t>74199</w:t>
      </w:r>
      <w:r>
        <w:rPr>
          <w:rFonts w:ascii="Arial" w:hAnsi="Arial" w:cs="Arial"/>
          <w:b/>
          <w:bCs/>
        </w:rPr>
        <w:t> </w:t>
      </w:r>
      <w:r w:rsidRPr="00AB38A6">
        <w:rPr>
          <w:rFonts w:ascii="Arial" w:hAnsi="Arial" w:cs="Arial"/>
          <w:b/>
          <w:bCs/>
        </w:rPr>
        <w:t>for further advice on this matter.</w:t>
      </w:r>
    </w:p>
    <w:p w14:paraId="59A22D9E" w14:textId="77777777" w:rsidR="00872404" w:rsidRPr="007F19B9" w:rsidRDefault="00872404" w:rsidP="006D2820"/>
    <w:p w14:paraId="3DBCE748" w14:textId="77777777" w:rsidR="00872404" w:rsidRPr="006D2820" w:rsidRDefault="00872404" w:rsidP="006D2820">
      <w:pPr>
        <w:pBdr>
          <w:top w:val="single" w:sz="12" w:space="1" w:color="auto"/>
          <w:left w:val="single" w:sz="12" w:space="4" w:color="auto"/>
          <w:bottom w:val="single" w:sz="12" w:space="1" w:color="auto"/>
          <w:right w:val="single" w:sz="12" w:space="4" w:color="auto"/>
        </w:pBdr>
        <w:rPr>
          <w:rFonts w:ascii="Arial" w:hAnsi="Arial" w:cs="Arial"/>
        </w:rPr>
      </w:pPr>
    </w:p>
    <w:p w14:paraId="130189AE" w14:textId="7DF9873E" w:rsidR="00872404" w:rsidRDefault="00872404" w:rsidP="006D2820">
      <w:pPr>
        <w:pBdr>
          <w:top w:val="single" w:sz="12" w:space="1" w:color="auto"/>
          <w:left w:val="single" w:sz="12" w:space="4" w:color="auto"/>
          <w:bottom w:val="single" w:sz="12" w:space="1" w:color="auto"/>
          <w:right w:val="single" w:sz="12" w:space="4" w:color="auto"/>
        </w:pBdr>
        <w:rPr>
          <w:rFonts w:ascii="Arial" w:hAnsi="Arial" w:cs="Arial"/>
          <w:b/>
          <w:bCs/>
        </w:rPr>
      </w:pPr>
      <w:r w:rsidRPr="006D2820">
        <w:rPr>
          <w:rFonts w:ascii="Arial" w:hAnsi="Arial" w:cs="Arial"/>
          <w:b/>
          <w:bCs/>
        </w:rPr>
        <w:t xml:space="preserve">An important part of improving our service is to review your feedback on the way that we have dealt with your planning application(s). Please take a couple of minutes to email your comments to </w:t>
      </w:r>
      <w:hyperlink r:id="rId17" w:history="1">
        <w:r w:rsidRPr="006D2820">
          <w:rPr>
            <w:rStyle w:val="Hyperlink"/>
            <w:rFonts w:ascii="Arial" w:hAnsi="Arial" w:cs="Arial"/>
            <w:b/>
            <w:bCs/>
          </w:rPr>
          <w:t>dc.admin@kirklees.gov.uk</w:t>
        </w:r>
      </w:hyperlink>
      <w:r w:rsidRPr="006D2820">
        <w:rPr>
          <w:rFonts w:ascii="Arial" w:hAnsi="Arial" w:cs="Arial"/>
          <w:b/>
          <w:bCs/>
        </w:rPr>
        <w:t xml:space="preserve"> so that we can work on continually improving our customer service. Thank you.</w:t>
      </w:r>
    </w:p>
    <w:p w14:paraId="3D0B877E" w14:textId="77777777" w:rsidR="00872404" w:rsidRPr="006D2820" w:rsidRDefault="00872404" w:rsidP="006D2820">
      <w:pPr>
        <w:pBdr>
          <w:top w:val="single" w:sz="12" w:space="1" w:color="auto"/>
          <w:left w:val="single" w:sz="12" w:space="4" w:color="auto"/>
          <w:bottom w:val="single" w:sz="12" w:space="1" w:color="auto"/>
          <w:right w:val="single" w:sz="12" w:space="4" w:color="auto"/>
        </w:pBdr>
        <w:rPr>
          <w:rFonts w:ascii="Arial" w:hAnsi="Arial" w:cs="Arial"/>
          <w:b/>
          <w:bCs/>
        </w:rPr>
      </w:pPr>
    </w:p>
    <w:p w14:paraId="7E59B7D9" w14:textId="77777777" w:rsidR="00872404" w:rsidRDefault="00872404" w:rsidP="006D2820">
      <w:pPr>
        <w:autoSpaceDE w:val="0"/>
        <w:autoSpaceDN w:val="0"/>
      </w:pPr>
    </w:p>
    <w:p w14:paraId="52EF002F" w14:textId="77777777" w:rsidR="00872404" w:rsidRDefault="00872404" w:rsidP="0034055E">
      <w:pPr>
        <w:autoSpaceDE w:val="0"/>
        <w:autoSpaceDN w:val="0"/>
        <w:adjustRightInd w:val="0"/>
        <w:rPr>
          <w:rFonts w:ascii="Arial" w:hAnsi="Arial" w:cs="Arial"/>
          <w:lang w:eastAsia="en-GB"/>
        </w:rPr>
      </w:pPr>
    </w:p>
    <w:tbl>
      <w:tblPr>
        <w:tblW w:w="0" w:type="auto"/>
        <w:tblLayout w:type="fixed"/>
        <w:tblLook w:val="0000" w:firstRow="0" w:lastRow="0" w:firstColumn="0" w:lastColumn="0" w:noHBand="0" w:noVBand="0"/>
      </w:tblPr>
      <w:tblGrid>
        <w:gridCol w:w="1526"/>
        <w:gridCol w:w="3544"/>
      </w:tblGrid>
      <w:tr w:rsidR="00872404" w14:paraId="15294E13" w14:textId="77777777">
        <w:tc>
          <w:tcPr>
            <w:tcW w:w="1526" w:type="dxa"/>
            <w:tcBorders>
              <w:top w:val="nil"/>
              <w:left w:val="nil"/>
              <w:bottom w:val="nil"/>
              <w:right w:val="nil"/>
            </w:tcBorders>
          </w:tcPr>
          <w:p w14:paraId="35E6EAC2" w14:textId="77777777" w:rsidR="00872404" w:rsidRDefault="00872404">
            <w:pPr>
              <w:autoSpaceDE w:val="0"/>
              <w:autoSpaceDN w:val="0"/>
              <w:adjustRightInd w:val="0"/>
              <w:rPr>
                <w:rFonts w:ascii="Arial" w:hAnsi="Arial" w:cs="Arial"/>
                <w:lang w:eastAsia="en-GB"/>
              </w:rPr>
            </w:pPr>
            <w:r>
              <w:rPr>
                <w:rFonts w:ascii="Arial" w:hAnsi="Arial" w:cs="Arial"/>
                <w:b/>
                <w:bCs/>
                <w:lang w:eastAsia="en-GB"/>
              </w:rPr>
              <w:t>Dated:</w:t>
            </w:r>
          </w:p>
        </w:tc>
        <w:tc>
          <w:tcPr>
            <w:tcW w:w="3544" w:type="dxa"/>
            <w:tcBorders>
              <w:top w:val="nil"/>
              <w:left w:val="nil"/>
              <w:bottom w:val="nil"/>
              <w:right w:val="nil"/>
            </w:tcBorders>
          </w:tcPr>
          <w:p w14:paraId="76C8EC97" w14:textId="77777777" w:rsidR="00872404" w:rsidRDefault="00872404">
            <w:pPr>
              <w:autoSpaceDE w:val="0"/>
              <w:autoSpaceDN w:val="0"/>
              <w:adjustRightInd w:val="0"/>
              <w:rPr>
                <w:rFonts w:ascii="Arial" w:hAnsi="Arial" w:cs="Arial"/>
                <w:lang w:eastAsia="en-GB"/>
              </w:rPr>
            </w:pPr>
            <w:r w:rsidRPr="001E37BD">
              <w:rPr>
                <w:rFonts w:ascii="Arial" w:hAnsi="Arial" w:cs="Arial"/>
                <w:noProof/>
                <w:lang w:eastAsia="en-GB"/>
              </w:rPr>
              <w:t>17-Jun-2020</w:t>
            </w:r>
          </w:p>
        </w:tc>
      </w:tr>
    </w:tbl>
    <w:p w14:paraId="6CA4F40F" w14:textId="77777777" w:rsidR="00872404" w:rsidRDefault="00872404" w:rsidP="0034055E">
      <w:pPr>
        <w:autoSpaceDE w:val="0"/>
        <w:autoSpaceDN w:val="0"/>
        <w:adjustRightInd w:val="0"/>
        <w:rPr>
          <w:rFonts w:ascii="Arial" w:hAnsi="Arial" w:cs="Arial"/>
          <w:lang w:eastAsia="en-GB"/>
        </w:rPr>
      </w:pPr>
    </w:p>
    <w:tbl>
      <w:tblPr>
        <w:tblW w:w="9854" w:type="dxa"/>
        <w:tblLayout w:type="fixed"/>
        <w:tblLook w:val="0000" w:firstRow="0" w:lastRow="0" w:firstColumn="0" w:lastColumn="0" w:noHBand="0" w:noVBand="0"/>
      </w:tblPr>
      <w:tblGrid>
        <w:gridCol w:w="1384"/>
        <w:gridCol w:w="8470"/>
      </w:tblGrid>
      <w:tr w:rsidR="00872404" w14:paraId="105907EC" w14:textId="77777777" w:rsidTr="00901FB2">
        <w:tc>
          <w:tcPr>
            <w:tcW w:w="1384" w:type="dxa"/>
            <w:tcBorders>
              <w:top w:val="nil"/>
              <w:left w:val="nil"/>
              <w:bottom w:val="nil"/>
              <w:right w:val="nil"/>
            </w:tcBorders>
          </w:tcPr>
          <w:p w14:paraId="0F33D664" w14:textId="77777777" w:rsidR="00872404" w:rsidRPr="008E68AF" w:rsidRDefault="00872404">
            <w:pPr>
              <w:autoSpaceDE w:val="0"/>
              <w:autoSpaceDN w:val="0"/>
              <w:adjustRightInd w:val="0"/>
              <w:rPr>
                <w:rFonts w:ascii="Arial" w:hAnsi="Arial" w:cs="Arial"/>
                <w:b/>
                <w:bCs/>
                <w:color w:val="000000"/>
                <w:szCs w:val="20"/>
              </w:rPr>
            </w:pPr>
          </w:p>
          <w:p w14:paraId="52B48661" w14:textId="77777777" w:rsidR="00872404" w:rsidRPr="008E68AF" w:rsidRDefault="00872404">
            <w:pPr>
              <w:autoSpaceDE w:val="0"/>
              <w:autoSpaceDN w:val="0"/>
              <w:adjustRightInd w:val="0"/>
              <w:rPr>
                <w:rFonts w:ascii="Arial" w:hAnsi="Arial" w:cs="Arial"/>
                <w:color w:val="000000"/>
              </w:rPr>
            </w:pPr>
            <w:r w:rsidRPr="008E68AF">
              <w:rPr>
                <w:rFonts w:ascii="Arial" w:hAnsi="Arial" w:cs="Arial"/>
                <w:b/>
                <w:bCs/>
              </w:rPr>
              <w:t>Signed:</w:t>
            </w:r>
          </w:p>
        </w:tc>
        <w:tc>
          <w:tcPr>
            <w:tcW w:w="8470" w:type="dxa"/>
            <w:tcBorders>
              <w:top w:val="nil"/>
              <w:left w:val="nil"/>
              <w:bottom w:val="nil"/>
              <w:right w:val="nil"/>
            </w:tcBorders>
          </w:tcPr>
          <w:p w14:paraId="72941F16" w14:textId="77777777" w:rsidR="00872404" w:rsidRDefault="00872404" w:rsidP="00734571">
            <w:r>
              <w:fldChar w:fldCharType="begin"/>
            </w:r>
            <w:r>
              <w:instrText xml:space="preserve"> INCLUDEPICTURE "http://intranet.rotherhamconnect.com/C6/C14/DMT/Document%20Library/Secretaries%20Information/Desk%20Aids/09.%20Electronic%20Directorate%20Signatures/Karl%20Battersby.jpg" \* MERGEFORMATINET </w:instrText>
            </w:r>
            <w:r>
              <w:fldChar w:fldCharType="separate"/>
            </w:r>
            <w:r w:rsidR="00AA2FF7">
              <w:fldChar w:fldCharType="begin"/>
            </w:r>
            <w:r w:rsidR="00AA2FF7">
              <w:instrText xml:space="preserve"> INCLUDEPICTURE  "http://intranet.rotherhamconnect.com/C6/C14/DMT/Document Library/Secretaries Information/Desk Aids/09. Electronic Directorate Signatures/Karl Battersby.jpg" \* MERGEFORMATINET </w:instrText>
            </w:r>
            <w:r w:rsidR="00AA2FF7">
              <w:fldChar w:fldCharType="separate"/>
            </w:r>
            <w:r w:rsidR="008B4ADE">
              <w:fldChar w:fldCharType="begin"/>
            </w:r>
            <w:r w:rsidR="008B4ADE">
              <w:instrText xml:space="preserve"> INCLUDEPICTURE  "http://intranet.rotherhamconnect.com/C6/C14/DMT/Document Library/Secretaries Information/Desk Aids/09. Electronic Directorate Signatures/Karl Battersby.jpg" \* MERGEFORMATINET </w:instrText>
            </w:r>
            <w:r w:rsidR="008B4ADE">
              <w:fldChar w:fldCharType="separate"/>
            </w:r>
            <w:r w:rsidR="009D31B8">
              <w:fldChar w:fldCharType="begin"/>
            </w:r>
            <w:r w:rsidR="009D31B8">
              <w:instrText xml:space="preserve"> INCLUDEPICTURE  "http://intranet.rotherhamconnect.com/C6/C14/DMT/Document Library/Secretaries Information/Desk Aids/09. Electronic Directorate Signatures/Karl Battersby.jpg" \* MERGEFORMATINET </w:instrText>
            </w:r>
            <w:r w:rsidR="009D31B8">
              <w:fldChar w:fldCharType="separate"/>
            </w:r>
            <w:r w:rsidR="00F37C65">
              <w:fldChar w:fldCharType="begin"/>
            </w:r>
            <w:r w:rsidR="00F37C65">
              <w:instrText xml:space="preserve"> </w:instrText>
            </w:r>
            <w:r w:rsidR="00F37C65">
              <w:instrText>INCLUDEPICTURE  "http://intranet.rotherhamconnect.com/C6/C14/DMT/Document Library/Secretaries Information/Desk Aids/09. Electronic Directorate Signatures/Karl Battersby.jpg" \* MERGEFORMATINET</w:instrText>
            </w:r>
            <w:r w:rsidR="00F37C65">
              <w:instrText xml:space="preserve"> </w:instrText>
            </w:r>
            <w:r w:rsidR="00F37C65">
              <w:fldChar w:fldCharType="separate"/>
            </w:r>
            <w:r w:rsidR="002D586F">
              <w:pict w14:anchorId="68C6641C">
                <v:shape id="_x0000_i1026" type="#_x0000_t75" style="width:86.35pt;height:60.75pt">
                  <v:imagedata r:id="rId18" r:href="rId19"/>
                </v:shape>
              </w:pict>
            </w:r>
            <w:r w:rsidR="00F37C65">
              <w:fldChar w:fldCharType="end"/>
            </w:r>
            <w:r w:rsidR="009D31B8">
              <w:fldChar w:fldCharType="end"/>
            </w:r>
            <w:r w:rsidR="008B4ADE">
              <w:fldChar w:fldCharType="end"/>
            </w:r>
            <w:r w:rsidR="00AA2FF7">
              <w:fldChar w:fldCharType="end"/>
            </w:r>
            <w:r>
              <w:fldChar w:fldCharType="end"/>
            </w:r>
          </w:p>
          <w:p w14:paraId="377985C1" w14:textId="77777777" w:rsidR="00872404" w:rsidRPr="00ED6864" w:rsidRDefault="00872404" w:rsidP="00734571">
            <w:pPr>
              <w:rPr>
                <w:rFonts w:ascii="Arial" w:hAnsi="Arial" w:cs="Arial"/>
                <w:b/>
                <w:color w:val="000000"/>
              </w:rPr>
            </w:pPr>
            <w:r>
              <w:rPr>
                <w:rFonts w:ascii="Arial" w:hAnsi="Arial" w:cs="Arial"/>
                <w:b/>
                <w:color w:val="000000"/>
              </w:rPr>
              <w:t>Karl Battersby</w:t>
            </w:r>
          </w:p>
          <w:p w14:paraId="4C0D1335" w14:textId="77777777" w:rsidR="00872404" w:rsidRPr="00ED6864" w:rsidRDefault="00872404" w:rsidP="00734571">
            <w:pPr>
              <w:rPr>
                <w:rFonts w:ascii="Arial" w:hAnsi="Arial" w:cs="Arial"/>
                <w:b/>
              </w:rPr>
            </w:pPr>
            <w:r w:rsidRPr="00ED6864">
              <w:rPr>
                <w:rFonts w:ascii="Arial" w:hAnsi="Arial" w:cs="Arial"/>
                <w:b/>
              </w:rPr>
              <w:t>Strategic Director Economy and Infrastructure</w:t>
            </w:r>
          </w:p>
          <w:p w14:paraId="2CA6A6C8" w14:textId="77777777" w:rsidR="00872404" w:rsidRPr="008E68AF" w:rsidRDefault="00872404">
            <w:pPr>
              <w:autoSpaceDE w:val="0"/>
              <w:autoSpaceDN w:val="0"/>
              <w:adjustRightInd w:val="0"/>
              <w:rPr>
                <w:rFonts w:ascii="Arial" w:hAnsi="Arial" w:cs="Arial"/>
                <w:b/>
                <w:bCs/>
                <w:color w:val="000000"/>
              </w:rPr>
            </w:pPr>
          </w:p>
        </w:tc>
      </w:tr>
    </w:tbl>
    <w:p w14:paraId="4291A43A" w14:textId="77777777" w:rsidR="00872404" w:rsidRDefault="00872404" w:rsidP="00901FB2">
      <w:pPr>
        <w:rPr>
          <w:rFonts w:ascii="Arial" w:hAnsi="Arial" w:cs="Arial"/>
          <w:b/>
        </w:rPr>
      </w:pPr>
    </w:p>
    <w:p w14:paraId="68562773" w14:textId="77777777" w:rsidR="00872404" w:rsidRDefault="00872404" w:rsidP="00901FB2">
      <w:pPr>
        <w:rPr>
          <w:rFonts w:ascii="Arial" w:hAnsi="Arial" w:cs="Arial"/>
          <w:b/>
        </w:rPr>
      </w:pPr>
      <w:r>
        <w:rPr>
          <w:rFonts w:ascii="Arial" w:hAnsi="Arial" w:cs="Arial"/>
          <w:b/>
        </w:rPr>
        <w:t>Decision Documents</w:t>
      </w:r>
    </w:p>
    <w:p w14:paraId="4C345393" w14:textId="77777777" w:rsidR="00872404" w:rsidRDefault="00872404" w:rsidP="00901FB2">
      <w:pPr>
        <w:rPr>
          <w:rFonts w:ascii="Arial" w:hAnsi="Arial" w:cs="Arial"/>
        </w:rPr>
      </w:pPr>
    </w:p>
    <w:p w14:paraId="0E76FE5B" w14:textId="1DFB797D" w:rsidR="00872404" w:rsidRDefault="00872404" w:rsidP="00901FB2">
      <w:pPr>
        <w:rPr>
          <w:rFonts w:ascii="Arial" w:hAnsi="Arial" w:cs="Arial"/>
        </w:rPr>
      </w:pPr>
      <w:r>
        <w:rPr>
          <w:rFonts w:ascii="Arial" w:hAnsi="Arial" w:cs="Arial"/>
        </w:rPr>
        <w:t xml:space="preserve">The decision notice indicates which documents relate to the decision.  These documents can be viewed online at the Planning Services website at </w:t>
      </w:r>
      <w:hyperlink r:id="rId20" w:history="1">
        <w:r>
          <w:rPr>
            <w:rStyle w:val="Hyperlink"/>
            <w:rFonts w:ascii="Arial" w:hAnsi="Arial" w:cs="Arial"/>
          </w:rPr>
          <w:t>www.kirklees.gov.uk/planning</w:t>
        </w:r>
      </w:hyperlink>
      <w:r>
        <w:rPr>
          <w:rFonts w:ascii="Arial" w:hAnsi="Arial" w:cs="Arial"/>
        </w:rPr>
        <w:t xml:space="preserve">, and by clicking on the ‘search and view existing planning applications and decisions’ and by searching for application number </w:t>
      </w:r>
      <w:r w:rsidRPr="001E37BD">
        <w:rPr>
          <w:rFonts w:ascii="Arial" w:hAnsi="Arial" w:cs="Arial"/>
          <w:bCs/>
          <w:noProof/>
        </w:rPr>
        <w:t xml:space="preserve">2019/60/91633/W </w:t>
      </w:r>
      <w:r>
        <w:rPr>
          <w:rFonts w:ascii="Arial" w:hAnsi="Arial" w:cs="Arial"/>
        </w:rPr>
        <w:t>.</w:t>
      </w:r>
    </w:p>
    <w:p w14:paraId="06089545" w14:textId="77777777" w:rsidR="00872404" w:rsidRDefault="00872404" w:rsidP="00901FB2">
      <w:pPr>
        <w:rPr>
          <w:rFonts w:ascii="Arial" w:hAnsi="Arial" w:cs="Arial"/>
        </w:rPr>
      </w:pPr>
    </w:p>
    <w:p w14:paraId="125331FD" w14:textId="537078CA" w:rsidR="00872404" w:rsidRDefault="00872404" w:rsidP="00901FB2">
      <w:pPr>
        <w:rPr>
          <w:rFonts w:ascii="Arial" w:hAnsi="Arial" w:cs="Arial"/>
        </w:rPr>
      </w:pPr>
      <w:r>
        <w:rPr>
          <w:rFonts w:ascii="Arial" w:hAnsi="Arial" w:cs="Arial"/>
        </w:rPr>
        <w:t xml:space="preserve">If a paper copy of the decision notice or decided plans are required please email </w:t>
      </w:r>
      <w:hyperlink r:id="rId21" w:history="1">
        <w:r>
          <w:rPr>
            <w:rStyle w:val="Hyperlink"/>
            <w:rFonts w:ascii="Arial" w:hAnsi="Arial" w:cs="Arial"/>
          </w:rPr>
          <w:t>dc.admin@kirklees.gov.uk</w:t>
        </w:r>
      </w:hyperlink>
      <w:r>
        <w:rPr>
          <w:rFonts w:ascii="Arial" w:hAnsi="Arial" w:cs="Arial"/>
        </w:rPr>
        <w:t xml:space="preserve"> or telephone 01484 414746</w:t>
      </w:r>
      <w:r>
        <w:rPr>
          <w:rFonts w:ascii="Arial" w:hAnsi="Arial" w:cs="Arial"/>
          <w:b/>
        </w:rPr>
        <w:t xml:space="preserve"> </w:t>
      </w:r>
      <w:r>
        <w:rPr>
          <w:rFonts w:ascii="Arial" w:hAnsi="Arial" w:cs="Arial"/>
        </w:rPr>
        <w:t>with the application number.  There may be a charge for this service.</w:t>
      </w:r>
    </w:p>
    <w:p w14:paraId="1CB17A0C" w14:textId="77777777" w:rsidR="00872404" w:rsidRPr="007F19B9" w:rsidRDefault="00872404" w:rsidP="00901FB2">
      <w:pPr>
        <w:pBdr>
          <w:bottom w:val="single" w:sz="6" w:space="1" w:color="auto"/>
        </w:pBdr>
        <w:autoSpaceDE w:val="0"/>
        <w:autoSpaceDN w:val="0"/>
        <w:adjustRightInd w:val="0"/>
        <w:rPr>
          <w:rFonts w:ascii="Arial" w:hAnsi="Arial" w:cs="Arial"/>
          <w:sz w:val="20"/>
          <w:szCs w:val="20"/>
        </w:rPr>
      </w:pPr>
    </w:p>
    <w:p w14:paraId="5FA3EE9B" w14:textId="77777777" w:rsidR="00872404" w:rsidRDefault="00872404" w:rsidP="00901FB2">
      <w:pPr>
        <w:autoSpaceDE w:val="0"/>
        <w:autoSpaceDN w:val="0"/>
        <w:adjustRightInd w:val="0"/>
        <w:rPr>
          <w:rFonts w:ascii="Arial" w:hAnsi="Arial" w:cs="Arial"/>
        </w:rPr>
      </w:pPr>
    </w:p>
    <w:p w14:paraId="2F059EC1" w14:textId="77777777" w:rsidR="00872404" w:rsidRDefault="00872404" w:rsidP="00901FB2">
      <w:pPr>
        <w:autoSpaceDE w:val="0"/>
        <w:autoSpaceDN w:val="0"/>
        <w:adjustRightInd w:val="0"/>
        <w:rPr>
          <w:rFonts w:ascii="Arial" w:hAnsi="Arial" w:cs="Arial"/>
        </w:rPr>
      </w:pPr>
      <w:r>
        <w:rPr>
          <w:rFonts w:ascii="Arial" w:hAnsi="Arial" w:cs="Arial"/>
        </w:rPr>
        <w:t>All communications should be sent to one of the following address:</w:t>
      </w:r>
    </w:p>
    <w:p w14:paraId="05A821EA" w14:textId="77777777" w:rsidR="00872404" w:rsidRDefault="00872404" w:rsidP="00901FB2">
      <w:pPr>
        <w:autoSpaceDE w:val="0"/>
        <w:autoSpaceDN w:val="0"/>
        <w:adjustRightInd w:val="0"/>
        <w:rPr>
          <w:rFonts w:ascii="Arial" w:hAnsi="Arial" w:cs="Arial"/>
        </w:rPr>
      </w:pPr>
      <w:r>
        <w:rPr>
          <w:rFonts w:ascii="Arial" w:hAnsi="Arial" w:cs="Arial"/>
        </w:rPr>
        <w:t xml:space="preserve"> </w:t>
      </w:r>
    </w:p>
    <w:tbl>
      <w:tblPr>
        <w:tblW w:w="0" w:type="auto"/>
        <w:tblLook w:val="04A0" w:firstRow="1" w:lastRow="0" w:firstColumn="1" w:lastColumn="0" w:noHBand="0" w:noVBand="1"/>
      </w:tblPr>
      <w:tblGrid>
        <w:gridCol w:w="1235"/>
        <w:gridCol w:w="8517"/>
      </w:tblGrid>
      <w:tr w:rsidR="00872404" w14:paraId="44F6BC32" w14:textId="77777777" w:rsidTr="00901FB2">
        <w:trPr>
          <w:trHeight w:val="499"/>
        </w:trPr>
        <w:tc>
          <w:tcPr>
            <w:tcW w:w="1242" w:type="dxa"/>
            <w:hideMark/>
          </w:tcPr>
          <w:p w14:paraId="1E29D2A5" w14:textId="77777777" w:rsidR="00872404" w:rsidRDefault="00872404">
            <w:pPr>
              <w:autoSpaceDE w:val="0"/>
              <w:autoSpaceDN w:val="0"/>
              <w:adjustRightInd w:val="0"/>
              <w:rPr>
                <w:rFonts w:ascii="Arial" w:hAnsi="Arial" w:cs="Arial"/>
                <w:b/>
                <w:color w:val="000000"/>
              </w:rPr>
            </w:pPr>
            <w:r>
              <w:rPr>
                <w:rFonts w:ascii="Arial" w:hAnsi="Arial" w:cs="Arial"/>
                <w:b/>
              </w:rPr>
              <w:t>E-mail:</w:t>
            </w:r>
          </w:p>
        </w:tc>
        <w:tc>
          <w:tcPr>
            <w:tcW w:w="8612" w:type="dxa"/>
            <w:hideMark/>
          </w:tcPr>
          <w:p w14:paraId="4582C61A" w14:textId="1CD6C90F" w:rsidR="00872404" w:rsidRDefault="00F37C65">
            <w:pPr>
              <w:autoSpaceDE w:val="0"/>
              <w:autoSpaceDN w:val="0"/>
              <w:adjustRightInd w:val="0"/>
              <w:rPr>
                <w:rFonts w:ascii="Arial" w:hAnsi="Arial" w:cs="Arial"/>
                <w:color w:val="000000"/>
              </w:rPr>
            </w:pPr>
            <w:hyperlink r:id="rId22" w:history="1">
              <w:r w:rsidR="00872404">
                <w:rPr>
                  <w:rStyle w:val="Hyperlink"/>
                  <w:rFonts w:ascii="Arial" w:hAnsi="Arial" w:cs="Arial"/>
                </w:rPr>
                <w:t>dc.admin@kirklees.gov.uk</w:t>
              </w:r>
            </w:hyperlink>
          </w:p>
        </w:tc>
      </w:tr>
      <w:tr w:rsidR="00872404" w14:paraId="4CC5F605" w14:textId="77777777" w:rsidTr="00901FB2">
        <w:trPr>
          <w:trHeight w:val="419"/>
        </w:trPr>
        <w:tc>
          <w:tcPr>
            <w:tcW w:w="1242" w:type="dxa"/>
            <w:hideMark/>
          </w:tcPr>
          <w:p w14:paraId="489EA175" w14:textId="77777777" w:rsidR="00872404" w:rsidRDefault="00872404">
            <w:pPr>
              <w:autoSpaceDE w:val="0"/>
              <w:autoSpaceDN w:val="0"/>
              <w:adjustRightInd w:val="0"/>
              <w:rPr>
                <w:rFonts w:ascii="Arial" w:hAnsi="Arial" w:cs="Arial"/>
                <w:b/>
                <w:color w:val="000000"/>
              </w:rPr>
            </w:pPr>
            <w:r>
              <w:rPr>
                <w:rFonts w:ascii="Arial" w:hAnsi="Arial" w:cs="Arial"/>
                <w:b/>
              </w:rPr>
              <w:t>Write to:</w:t>
            </w:r>
          </w:p>
        </w:tc>
        <w:tc>
          <w:tcPr>
            <w:tcW w:w="8612" w:type="dxa"/>
            <w:hideMark/>
          </w:tcPr>
          <w:p w14:paraId="08A4D070" w14:textId="77777777" w:rsidR="00872404" w:rsidRDefault="00872404">
            <w:pPr>
              <w:autoSpaceDE w:val="0"/>
              <w:autoSpaceDN w:val="0"/>
              <w:adjustRightInd w:val="0"/>
              <w:rPr>
                <w:rFonts w:ascii="Arial" w:hAnsi="Arial" w:cs="Arial"/>
                <w:color w:val="000000"/>
              </w:rPr>
            </w:pPr>
            <w:r>
              <w:rPr>
                <w:rFonts w:ascii="Arial" w:hAnsi="Arial" w:cs="Arial"/>
              </w:rPr>
              <w:t>Planning Services</w:t>
            </w:r>
          </w:p>
          <w:p w14:paraId="35DCFE61" w14:textId="77777777" w:rsidR="00872404" w:rsidRDefault="00872404">
            <w:pPr>
              <w:autoSpaceDE w:val="0"/>
              <w:autoSpaceDN w:val="0"/>
              <w:adjustRightInd w:val="0"/>
              <w:rPr>
                <w:rFonts w:ascii="Arial" w:hAnsi="Arial" w:cs="Arial"/>
              </w:rPr>
            </w:pPr>
            <w:r>
              <w:rPr>
                <w:rFonts w:ascii="Arial" w:hAnsi="Arial" w:cs="Arial"/>
              </w:rPr>
              <w:t xml:space="preserve">Investment and Regeneration </w:t>
            </w:r>
          </w:p>
          <w:p w14:paraId="7517FFF7" w14:textId="3E9A1C03" w:rsidR="00872404" w:rsidRDefault="00872404">
            <w:pPr>
              <w:autoSpaceDE w:val="0"/>
              <w:autoSpaceDN w:val="0"/>
              <w:adjustRightInd w:val="0"/>
              <w:rPr>
                <w:rFonts w:ascii="Arial" w:hAnsi="Arial" w:cs="Arial"/>
              </w:rPr>
            </w:pPr>
            <w:r>
              <w:rPr>
                <w:rFonts w:ascii="Arial" w:hAnsi="Arial" w:cs="Arial"/>
              </w:rPr>
              <w:t>PO Box B93</w:t>
            </w:r>
            <w:r w:rsidR="007F19B9">
              <w:rPr>
                <w:rFonts w:ascii="Arial" w:hAnsi="Arial" w:cs="Arial"/>
              </w:rPr>
              <w:t xml:space="preserve">, </w:t>
            </w:r>
            <w:r>
              <w:rPr>
                <w:rFonts w:ascii="Arial" w:hAnsi="Arial" w:cs="Arial"/>
              </w:rPr>
              <w:t xml:space="preserve">Civic Centre </w:t>
            </w:r>
            <w:smartTag w:uri="urn:schemas-microsoft-com:office:smarttags" w:element="stockticker">
              <w:r>
                <w:rPr>
                  <w:rFonts w:ascii="Arial" w:hAnsi="Arial" w:cs="Arial"/>
                </w:rPr>
                <w:t>III</w:t>
              </w:r>
            </w:smartTag>
            <w:r>
              <w:rPr>
                <w:rFonts w:ascii="Arial" w:hAnsi="Arial" w:cs="Arial"/>
              </w:rPr>
              <w:t xml:space="preserve"> </w:t>
            </w:r>
          </w:p>
          <w:p w14:paraId="50583709" w14:textId="7993B3F1" w:rsidR="00872404" w:rsidRDefault="00872404">
            <w:pPr>
              <w:autoSpaceDE w:val="0"/>
              <w:autoSpaceDN w:val="0"/>
              <w:adjustRightInd w:val="0"/>
              <w:rPr>
                <w:rFonts w:ascii="Arial" w:hAnsi="Arial" w:cs="Arial"/>
              </w:rPr>
            </w:pPr>
            <w:r>
              <w:rPr>
                <w:rFonts w:ascii="Arial" w:hAnsi="Arial" w:cs="Arial"/>
              </w:rPr>
              <w:t>Off Market Street</w:t>
            </w:r>
            <w:r w:rsidR="007F19B9">
              <w:rPr>
                <w:rFonts w:ascii="Arial" w:hAnsi="Arial" w:cs="Arial"/>
              </w:rPr>
              <w:t xml:space="preserve">, </w:t>
            </w:r>
            <w:r>
              <w:rPr>
                <w:rFonts w:ascii="Arial" w:hAnsi="Arial" w:cs="Arial"/>
              </w:rPr>
              <w:t>Huddersfield</w:t>
            </w:r>
          </w:p>
          <w:p w14:paraId="634442DD" w14:textId="77777777" w:rsidR="00872404" w:rsidRDefault="00872404">
            <w:pPr>
              <w:autoSpaceDE w:val="0"/>
              <w:autoSpaceDN w:val="0"/>
              <w:adjustRightInd w:val="0"/>
              <w:rPr>
                <w:rFonts w:ascii="Arial" w:hAnsi="Arial" w:cs="Arial"/>
                <w:color w:val="000000"/>
              </w:rPr>
            </w:pPr>
            <w:r>
              <w:rPr>
                <w:rFonts w:ascii="Arial" w:hAnsi="Arial" w:cs="Arial"/>
              </w:rPr>
              <w:t>HD1 2JR</w:t>
            </w:r>
          </w:p>
        </w:tc>
      </w:tr>
    </w:tbl>
    <w:p w14:paraId="617C0092" w14:textId="77777777" w:rsidR="00872404" w:rsidRDefault="00872404" w:rsidP="00901FB2">
      <w:pPr>
        <w:pBdr>
          <w:bottom w:val="single" w:sz="6" w:space="1" w:color="auto"/>
        </w:pBdr>
        <w:autoSpaceDE w:val="0"/>
        <w:autoSpaceDN w:val="0"/>
        <w:adjustRightInd w:val="0"/>
        <w:rPr>
          <w:rFonts w:ascii="Arial" w:hAnsi="Arial" w:cs="Arial"/>
          <w:color w:val="000000"/>
        </w:rPr>
      </w:pPr>
    </w:p>
    <w:p w14:paraId="6D2ECA50" w14:textId="77777777" w:rsidR="00872404" w:rsidRDefault="00872404" w:rsidP="000E4B23">
      <w:pPr>
        <w:sectPr w:rsidR="00872404" w:rsidSect="007F19B9">
          <w:headerReference w:type="even" r:id="rId23"/>
          <w:headerReference w:type="default" r:id="rId24"/>
          <w:footerReference w:type="even" r:id="rId25"/>
          <w:footerReference w:type="default" r:id="rId26"/>
          <w:headerReference w:type="first" r:id="rId27"/>
          <w:footerReference w:type="first" r:id="rId28"/>
          <w:pgSz w:w="12240" w:h="15840" w:code="1"/>
          <w:pgMar w:top="426" w:right="907" w:bottom="568" w:left="1797" w:header="720" w:footer="720" w:gutter="0"/>
          <w:paperSrc w:first="11" w:other="11"/>
          <w:pgNumType w:start="1"/>
          <w:cols w:space="720"/>
          <w:noEndnote/>
        </w:sectPr>
      </w:pPr>
    </w:p>
    <w:p w14:paraId="371440C5" w14:textId="77777777" w:rsidR="00872404" w:rsidRDefault="00872404" w:rsidP="000E4B23"/>
    <w:sectPr w:rsidR="00872404" w:rsidSect="00872404">
      <w:type w:val="continuous"/>
      <w:pgSz w:w="12240" w:h="15840" w:code="1"/>
      <w:pgMar w:top="426" w:right="907" w:bottom="1440" w:left="1797" w:header="720" w:footer="720" w:gutter="0"/>
      <w:paperSrc w:first="11" w:other="1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EA64E" w14:textId="77777777" w:rsidR="00F37C65" w:rsidRDefault="00F37C65" w:rsidP="00797553">
      <w:r>
        <w:separator/>
      </w:r>
    </w:p>
  </w:endnote>
  <w:endnote w:type="continuationSeparator" w:id="0">
    <w:p w14:paraId="23CE24EF" w14:textId="77777777" w:rsidR="00F37C65" w:rsidRDefault="00F37C65" w:rsidP="0079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0FE23" w14:textId="77777777" w:rsidR="00872404" w:rsidRDefault="00872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A627E" w14:textId="77777777" w:rsidR="00872404" w:rsidRDefault="00872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53DCE" w14:textId="77777777" w:rsidR="00872404" w:rsidRDefault="00872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90461" w14:textId="77777777" w:rsidR="00F37C65" w:rsidRDefault="00F37C65" w:rsidP="00797553">
      <w:r>
        <w:separator/>
      </w:r>
    </w:p>
  </w:footnote>
  <w:footnote w:type="continuationSeparator" w:id="0">
    <w:p w14:paraId="17C0CF0C" w14:textId="77777777" w:rsidR="00F37C65" w:rsidRDefault="00F37C65" w:rsidP="00797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2ECED" w14:textId="77777777" w:rsidR="00872404" w:rsidRDefault="00872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D31C6" w14:textId="77777777" w:rsidR="00872404" w:rsidRDefault="00872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E2F4E" w14:textId="77777777" w:rsidR="00872404" w:rsidRDefault="00872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049C9"/>
    <w:multiLevelType w:val="hybridMultilevel"/>
    <w:tmpl w:val="ED9CFFD8"/>
    <w:lvl w:ilvl="0" w:tplc="936E67D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E1205D9"/>
    <w:multiLevelType w:val="hybridMultilevel"/>
    <w:tmpl w:val="2752FCE8"/>
    <w:lvl w:ilvl="0" w:tplc="A73072CC">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4B23"/>
    <w:rsid w:val="000370AC"/>
    <w:rsid w:val="00062CBB"/>
    <w:rsid w:val="000E0EEB"/>
    <w:rsid w:val="000E4B23"/>
    <w:rsid w:val="00104A2A"/>
    <w:rsid w:val="00117455"/>
    <w:rsid w:val="00172CFE"/>
    <w:rsid w:val="00173BDB"/>
    <w:rsid w:val="001A66FD"/>
    <w:rsid w:val="001B0C86"/>
    <w:rsid w:val="001D44DB"/>
    <w:rsid w:val="002723D8"/>
    <w:rsid w:val="002C5A35"/>
    <w:rsid w:val="002D586F"/>
    <w:rsid w:val="002F3453"/>
    <w:rsid w:val="0034055E"/>
    <w:rsid w:val="003F3E1D"/>
    <w:rsid w:val="003F6CAA"/>
    <w:rsid w:val="00414DA9"/>
    <w:rsid w:val="004311B3"/>
    <w:rsid w:val="0044057E"/>
    <w:rsid w:val="00440CCD"/>
    <w:rsid w:val="00445C4C"/>
    <w:rsid w:val="0044646A"/>
    <w:rsid w:val="00460B2D"/>
    <w:rsid w:val="00481964"/>
    <w:rsid w:val="004A244C"/>
    <w:rsid w:val="00502133"/>
    <w:rsid w:val="005A4D73"/>
    <w:rsid w:val="005C1714"/>
    <w:rsid w:val="005D01DC"/>
    <w:rsid w:val="005F02DB"/>
    <w:rsid w:val="006121C7"/>
    <w:rsid w:val="0069747C"/>
    <w:rsid w:val="006A60B4"/>
    <w:rsid w:val="006D2820"/>
    <w:rsid w:val="006D4B0A"/>
    <w:rsid w:val="00731188"/>
    <w:rsid w:val="00734571"/>
    <w:rsid w:val="00742FCE"/>
    <w:rsid w:val="0078655D"/>
    <w:rsid w:val="00797553"/>
    <w:rsid w:val="007A40AE"/>
    <w:rsid w:val="007C674F"/>
    <w:rsid w:val="007F19B9"/>
    <w:rsid w:val="00867FB1"/>
    <w:rsid w:val="00872404"/>
    <w:rsid w:val="008B0E23"/>
    <w:rsid w:val="008B4ADE"/>
    <w:rsid w:val="008E20DA"/>
    <w:rsid w:val="008E68AF"/>
    <w:rsid w:val="008F2869"/>
    <w:rsid w:val="008F7C08"/>
    <w:rsid w:val="00901FB2"/>
    <w:rsid w:val="009C2A04"/>
    <w:rsid w:val="009D31B8"/>
    <w:rsid w:val="00A14438"/>
    <w:rsid w:val="00A413AC"/>
    <w:rsid w:val="00A662D4"/>
    <w:rsid w:val="00A95E29"/>
    <w:rsid w:val="00AA030B"/>
    <w:rsid w:val="00AA2FF7"/>
    <w:rsid w:val="00AA43F4"/>
    <w:rsid w:val="00AB2830"/>
    <w:rsid w:val="00AD3394"/>
    <w:rsid w:val="00AE6B85"/>
    <w:rsid w:val="00B34DD2"/>
    <w:rsid w:val="00BB4144"/>
    <w:rsid w:val="00BD3CA6"/>
    <w:rsid w:val="00C10829"/>
    <w:rsid w:val="00C64E9C"/>
    <w:rsid w:val="00C65D16"/>
    <w:rsid w:val="00C75337"/>
    <w:rsid w:val="00C83303"/>
    <w:rsid w:val="00CB36AA"/>
    <w:rsid w:val="00DA085D"/>
    <w:rsid w:val="00E04B95"/>
    <w:rsid w:val="00E12BBC"/>
    <w:rsid w:val="00E53F30"/>
    <w:rsid w:val="00E641C5"/>
    <w:rsid w:val="00EA5B6A"/>
    <w:rsid w:val="00EC54BB"/>
    <w:rsid w:val="00EE2ADA"/>
    <w:rsid w:val="00F13C81"/>
    <w:rsid w:val="00F2418F"/>
    <w:rsid w:val="00F37C65"/>
    <w:rsid w:val="00F46638"/>
    <w:rsid w:val="00F46F73"/>
    <w:rsid w:val="00F54B2D"/>
    <w:rsid w:val="00FB28F9"/>
    <w:rsid w:val="00FB3091"/>
    <w:rsid w:val="00FC6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390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55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62D4"/>
    <w:rPr>
      <w:color w:val="0000FF"/>
      <w:u w:val="single"/>
    </w:rPr>
  </w:style>
  <w:style w:type="character" w:styleId="FollowedHyperlink">
    <w:name w:val="FollowedHyperlink"/>
    <w:uiPriority w:val="99"/>
    <w:semiHidden/>
    <w:unhideWhenUsed/>
    <w:rsid w:val="00173BDB"/>
    <w:rPr>
      <w:color w:val="800080"/>
      <w:u w:val="single"/>
    </w:rPr>
  </w:style>
  <w:style w:type="paragraph" w:styleId="NoSpacing">
    <w:name w:val="No Spacing"/>
    <w:uiPriority w:val="1"/>
    <w:qFormat/>
    <w:rsid w:val="00872404"/>
    <w:rPr>
      <w:rFonts w:ascii="Arial" w:hAnsi="Arial" w:cs="Arial"/>
      <w:sz w:val="24"/>
      <w:szCs w:val="24"/>
      <w:lang w:eastAsia="en-US"/>
    </w:rPr>
  </w:style>
  <w:style w:type="paragraph" w:customStyle="1" w:styleId="Default">
    <w:name w:val="Default"/>
    <w:rsid w:val="00872404"/>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872404"/>
    <w:pPr>
      <w:ind w:left="720"/>
      <w:contextualSpacing/>
    </w:pPr>
  </w:style>
  <w:style w:type="paragraph" w:styleId="Header">
    <w:name w:val="header"/>
    <w:basedOn w:val="Normal"/>
    <w:link w:val="HeaderChar"/>
    <w:uiPriority w:val="99"/>
    <w:unhideWhenUsed/>
    <w:rsid w:val="00872404"/>
    <w:pPr>
      <w:tabs>
        <w:tab w:val="center" w:pos="4513"/>
        <w:tab w:val="right" w:pos="9026"/>
      </w:tabs>
    </w:pPr>
  </w:style>
  <w:style w:type="character" w:customStyle="1" w:styleId="HeaderChar">
    <w:name w:val="Header Char"/>
    <w:link w:val="Header"/>
    <w:uiPriority w:val="99"/>
    <w:rsid w:val="00872404"/>
    <w:rPr>
      <w:sz w:val="24"/>
      <w:szCs w:val="24"/>
      <w:lang w:eastAsia="en-US"/>
    </w:rPr>
  </w:style>
  <w:style w:type="paragraph" w:styleId="Footer">
    <w:name w:val="footer"/>
    <w:basedOn w:val="Normal"/>
    <w:link w:val="FooterChar"/>
    <w:uiPriority w:val="99"/>
    <w:unhideWhenUsed/>
    <w:rsid w:val="00872404"/>
    <w:pPr>
      <w:tabs>
        <w:tab w:val="center" w:pos="4513"/>
        <w:tab w:val="right" w:pos="9026"/>
      </w:tabs>
    </w:pPr>
  </w:style>
  <w:style w:type="character" w:customStyle="1" w:styleId="FooterChar">
    <w:name w:val="Footer Char"/>
    <w:link w:val="Footer"/>
    <w:uiPriority w:val="99"/>
    <w:rsid w:val="00872404"/>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10256">
      <w:bodyDiv w:val="1"/>
      <w:marLeft w:val="0"/>
      <w:marRight w:val="0"/>
      <w:marTop w:val="0"/>
      <w:marBottom w:val="0"/>
      <w:divBdr>
        <w:top w:val="none" w:sz="0" w:space="0" w:color="auto"/>
        <w:left w:val="none" w:sz="0" w:space="0" w:color="auto"/>
        <w:bottom w:val="none" w:sz="0" w:space="0" w:color="auto"/>
        <w:right w:val="none" w:sz="0" w:space="0" w:color="auto"/>
      </w:divBdr>
    </w:div>
    <w:div w:id="479229185">
      <w:bodyDiv w:val="1"/>
      <w:marLeft w:val="0"/>
      <w:marRight w:val="0"/>
      <w:marTop w:val="0"/>
      <w:marBottom w:val="0"/>
      <w:divBdr>
        <w:top w:val="none" w:sz="0" w:space="0" w:color="auto"/>
        <w:left w:val="none" w:sz="0" w:space="0" w:color="auto"/>
        <w:bottom w:val="none" w:sz="0" w:space="0" w:color="auto"/>
        <w:right w:val="none" w:sz="0" w:space="0" w:color="auto"/>
      </w:divBdr>
    </w:div>
    <w:div w:id="619188922">
      <w:bodyDiv w:val="1"/>
      <w:marLeft w:val="0"/>
      <w:marRight w:val="0"/>
      <w:marTop w:val="0"/>
      <w:marBottom w:val="0"/>
      <w:divBdr>
        <w:top w:val="none" w:sz="0" w:space="0" w:color="auto"/>
        <w:left w:val="none" w:sz="0" w:space="0" w:color="auto"/>
        <w:bottom w:val="none" w:sz="0" w:space="0" w:color="auto"/>
        <w:right w:val="none" w:sz="0" w:space="0" w:color="auto"/>
      </w:divBdr>
    </w:div>
    <w:div w:id="655688607">
      <w:bodyDiv w:val="1"/>
      <w:marLeft w:val="0"/>
      <w:marRight w:val="0"/>
      <w:marTop w:val="0"/>
      <w:marBottom w:val="0"/>
      <w:divBdr>
        <w:top w:val="none" w:sz="0" w:space="0" w:color="auto"/>
        <w:left w:val="none" w:sz="0" w:space="0" w:color="auto"/>
        <w:bottom w:val="none" w:sz="0" w:space="0" w:color="auto"/>
        <w:right w:val="none" w:sz="0" w:space="0" w:color="auto"/>
      </w:divBdr>
    </w:div>
    <w:div w:id="668287911">
      <w:bodyDiv w:val="1"/>
      <w:marLeft w:val="0"/>
      <w:marRight w:val="0"/>
      <w:marTop w:val="0"/>
      <w:marBottom w:val="0"/>
      <w:divBdr>
        <w:top w:val="none" w:sz="0" w:space="0" w:color="auto"/>
        <w:left w:val="none" w:sz="0" w:space="0" w:color="auto"/>
        <w:bottom w:val="none" w:sz="0" w:space="0" w:color="auto"/>
        <w:right w:val="none" w:sz="0" w:space="0" w:color="auto"/>
      </w:divBdr>
    </w:div>
    <w:div w:id="716778564">
      <w:bodyDiv w:val="1"/>
      <w:marLeft w:val="0"/>
      <w:marRight w:val="0"/>
      <w:marTop w:val="0"/>
      <w:marBottom w:val="0"/>
      <w:divBdr>
        <w:top w:val="none" w:sz="0" w:space="0" w:color="auto"/>
        <w:left w:val="none" w:sz="0" w:space="0" w:color="auto"/>
        <w:bottom w:val="none" w:sz="0" w:space="0" w:color="auto"/>
        <w:right w:val="none" w:sz="0" w:space="0" w:color="auto"/>
      </w:divBdr>
    </w:div>
    <w:div w:id="827211489">
      <w:bodyDiv w:val="1"/>
      <w:marLeft w:val="0"/>
      <w:marRight w:val="0"/>
      <w:marTop w:val="0"/>
      <w:marBottom w:val="0"/>
      <w:divBdr>
        <w:top w:val="none" w:sz="0" w:space="0" w:color="auto"/>
        <w:left w:val="none" w:sz="0" w:space="0" w:color="auto"/>
        <w:bottom w:val="none" w:sz="0" w:space="0" w:color="auto"/>
        <w:right w:val="none" w:sz="0" w:space="0" w:color="auto"/>
      </w:divBdr>
    </w:div>
    <w:div w:id="1278564662">
      <w:bodyDiv w:val="1"/>
      <w:marLeft w:val="0"/>
      <w:marRight w:val="0"/>
      <w:marTop w:val="0"/>
      <w:marBottom w:val="0"/>
      <w:divBdr>
        <w:top w:val="none" w:sz="0" w:space="0" w:color="auto"/>
        <w:left w:val="none" w:sz="0" w:space="0" w:color="auto"/>
        <w:bottom w:val="none" w:sz="0" w:space="0" w:color="auto"/>
        <w:right w:val="none" w:sz="0" w:space="0" w:color="auto"/>
      </w:divBdr>
    </w:div>
    <w:div w:id="1282998645">
      <w:bodyDiv w:val="1"/>
      <w:marLeft w:val="0"/>
      <w:marRight w:val="0"/>
      <w:marTop w:val="0"/>
      <w:marBottom w:val="0"/>
      <w:divBdr>
        <w:top w:val="none" w:sz="0" w:space="0" w:color="auto"/>
        <w:left w:val="none" w:sz="0" w:space="0" w:color="auto"/>
        <w:bottom w:val="none" w:sz="0" w:space="0" w:color="auto"/>
        <w:right w:val="none" w:sz="0" w:space="0" w:color="auto"/>
      </w:divBdr>
    </w:div>
    <w:div w:id="1448697245">
      <w:bodyDiv w:val="1"/>
      <w:marLeft w:val="0"/>
      <w:marRight w:val="0"/>
      <w:marTop w:val="0"/>
      <w:marBottom w:val="0"/>
      <w:divBdr>
        <w:top w:val="none" w:sz="0" w:space="0" w:color="auto"/>
        <w:left w:val="none" w:sz="0" w:space="0" w:color="auto"/>
        <w:bottom w:val="none" w:sz="0" w:space="0" w:color="auto"/>
        <w:right w:val="none" w:sz="0" w:space="0" w:color="auto"/>
      </w:divBdr>
    </w:div>
    <w:div w:id="1449818330">
      <w:bodyDiv w:val="1"/>
      <w:marLeft w:val="0"/>
      <w:marRight w:val="0"/>
      <w:marTop w:val="0"/>
      <w:marBottom w:val="0"/>
      <w:divBdr>
        <w:top w:val="none" w:sz="0" w:space="0" w:color="auto"/>
        <w:left w:val="none" w:sz="0" w:space="0" w:color="auto"/>
        <w:bottom w:val="none" w:sz="0" w:space="0" w:color="auto"/>
        <w:right w:val="none" w:sz="0" w:space="0" w:color="auto"/>
      </w:divBdr>
    </w:div>
    <w:div w:id="1642076957">
      <w:bodyDiv w:val="1"/>
      <w:marLeft w:val="0"/>
      <w:marRight w:val="0"/>
      <w:marTop w:val="0"/>
      <w:marBottom w:val="0"/>
      <w:divBdr>
        <w:top w:val="none" w:sz="0" w:space="0" w:color="auto"/>
        <w:left w:val="none" w:sz="0" w:space="0" w:color="auto"/>
        <w:bottom w:val="none" w:sz="0" w:space="0" w:color="auto"/>
        <w:right w:val="none" w:sz="0" w:space="0" w:color="auto"/>
      </w:divBdr>
    </w:div>
    <w:div w:id="1815829449">
      <w:bodyDiv w:val="1"/>
      <w:marLeft w:val="0"/>
      <w:marRight w:val="0"/>
      <w:marTop w:val="0"/>
      <w:marBottom w:val="0"/>
      <w:divBdr>
        <w:top w:val="none" w:sz="0" w:space="0" w:color="auto"/>
        <w:left w:val="none" w:sz="0" w:space="0" w:color="auto"/>
        <w:bottom w:val="none" w:sz="0" w:space="0" w:color="auto"/>
        <w:right w:val="none" w:sz="0" w:space="0" w:color="auto"/>
      </w:divBdr>
    </w:div>
    <w:div w:id="1929996136">
      <w:bodyDiv w:val="1"/>
      <w:marLeft w:val="0"/>
      <w:marRight w:val="0"/>
      <w:marTop w:val="0"/>
      <w:marBottom w:val="0"/>
      <w:divBdr>
        <w:top w:val="none" w:sz="0" w:space="0" w:color="auto"/>
        <w:left w:val="none" w:sz="0" w:space="0" w:color="auto"/>
        <w:bottom w:val="none" w:sz="0" w:space="0" w:color="auto"/>
        <w:right w:val="none" w:sz="0" w:space="0" w:color="auto"/>
      </w:divBdr>
    </w:div>
    <w:div w:id="202436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ningportal.gov.uk/" TargetMode="External"/><Relationship Id="rId18" Type="http://schemas.openxmlformats.org/officeDocument/2006/relationships/image" Target="media/image2.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planning.contactcentre@kirklees.gov.uk" TargetMode="External"/><Relationship Id="rId7" Type="http://schemas.openxmlformats.org/officeDocument/2006/relationships/footnotes" Target="footnotes.xml"/><Relationship Id="rId12" Type="http://schemas.openxmlformats.org/officeDocument/2006/relationships/hyperlink" Target="http://www.gov.uk/government/organisations/the-coal-authority" TargetMode="External"/><Relationship Id="rId17" Type="http://schemas.openxmlformats.org/officeDocument/2006/relationships/hyperlink" Target="mailto:dc.admin@kirklees.gov.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organisations/planning-inspectorate" TargetMode="External"/><Relationship Id="rId20" Type="http://schemas.openxmlformats.org/officeDocument/2006/relationships/hyperlink" Target="http://www.kirklees.gov.uk/plann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oundstability.com"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gov.uk/planning-inspectorat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gov.uk/government/publications/building-on-or-within-the-influencing-distance-of-mine-entries" TargetMode="External"/><Relationship Id="rId19" Type="http://schemas.openxmlformats.org/officeDocument/2006/relationships/image" Target="http://intranet.rotherhamconnect.com/C6/C14/DMT/Document%20Library/Secretaries%20Information/Desk%20Aids/09.%20Electronic%20Directorate%20Signatures/Karl%20Battersby.jpg"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kirklees.gov.uk/planning" TargetMode="External"/><Relationship Id="rId22" Type="http://schemas.openxmlformats.org/officeDocument/2006/relationships/hyperlink" Target="mailto:planning.contactcentre@kirklees.gov.uk" TargetMode="Externa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iaHepworth\AppData\Roaming\Microsoft\Templates\swiftlg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DC8AF-6EDF-4355-B1AD-447BBDDC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swiftlg2.dot</Template>
  <TotalTime>1</TotalTime>
  <Pages>12</Pages>
  <Words>4637</Words>
  <Characters>26431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lpstr>
    </vt:vector>
  </TitlesOfParts>
  <Company>Swift LG</Company>
  <LinksUpToDate>false</LinksUpToDate>
  <CharactersWithSpaces>31006</CharactersWithSpaces>
  <SharedDoc>false</SharedDoc>
  <HLinks>
    <vt:vector size="48" baseType="variant">
      <vt:variant>
        <vt:i4>6946901</vt:i4>
      </vt:variant>
      <vt:variant>
        <vt:i4>56</vt:i4>
      </vt:variant>
      <vt:variant>
        <vt:i4>0</vt:i4>
      </vt:variant>
      <vt:variant>
        <vt:i4>5</vt:i4>
      </vt:variant>
      <vt:variant>
        <vt:lpwstr>mailto:planning.contactcentre@kirklees.gov.uk</vt:lpwstr>
      </vt:variant>
      <vt:variant>
        <vt:lpwstr/>
      </vt:variant>
      <vt:variant>
        <vt:i4>6946901</vt:i4>
      </vt:variant>
      <vt:variant>
        <vt:i4>53</vt:i4>
      </vt:variant>
      <vt:variant>
        <vt:i4>0</vt:i4>
      </vt:variant>
      <vt:variant>
        <vt:i4>5</vt:i4>
      </vt:variant>
      <vt:variant>
        <vt:lpwstr>mailto:planning.contactcentre@kirklees.gov.uk</vt:lpwstr>
      </vt:variant>
      <vt:variant>
        <vt:lpwstr/>
      </vt:variant>
      <vt:variant>
        <vt:i4>3014756</vt:i4>
      </vt:variant>
      <vt:variant>
        <vt:i4>47</vt:i4>
      </vt:variant>
      <vt:variant>
        <vt:i4>0</vt:i4>
      </vt:variant>
      <vt:variant>
        <vt:i4>5</vt:i4>
      </vt:variant>
      <vt:variant>
        <vt:lpwstr>http://www.kirklees.gov.uk/planning</vt:lpwstr>
      </vt:variant>
      <vt:variant>
        <vt:lpwstr/>
      </vt:variant>
      <vt:variant>
        <vt:i4>1376308</vt:i4>
      </vt:variant>
      <vt:variant>
        <vt:i4>38</vt:i4>
      </vt:variant>
      <vt:variant>
        <vt:i4>0</vt:i4>
      </vt:variant>
      <vt:variant>
        <vt:i4>5</vt:i4>
      </vt:variant>
      <vt:variant>
        <vt:lpwstr>mailto:dc.admin@kirklees.gov.uk</vt:lpwstr>
      </vt:variant>
      <vt:variant>
        <vt:lpwstr/>
      </vt:variant>
      <vt:variant>
        <vt:i4>2031692</vt:i4>
      </vt:variant>
      <vt:variant>
        <vt:i4>35</vt:i4>
      </vt:variant>
      <vt:variant>
        <vt:i4>0</vt:i4>
      </vt:variant>
      <vt:variant>
        <vt:i4>5</vt:i4>
      </vt:variant>
      <vt:variant>
        <vt:lpwstr>https://www.gov.uk/government/organisations/planning-inspectorate</vt:lpwstr>
      </vt:variant>
      <vt:variant>
        <vt:lpwstr/>
      </vt:variant>
      <vt:variant>
        <vt:i4>4718602</vt:i4>
      </vt:variant>
      <vt:variant>
        <vt:i4>32</vt:i4>
      </vt:variant>
      <vt:variant>
        <vt:i4>0</vt:i4>
      </vt:variant>
      <vt:variant>
        <vt:i4>5</vt:i4>
      </vt:variant>
      <vt:variant>
        <vt:lpwstr>https://www.gov.uk/planning-inspectorate</vt:lpwstr>
      </vt:variant>
      <vt:variant>
        <vt:lpwstr/>
      </vt:variant>
      <vt:variant>
        <vt:i4>3014756</vt:i4>
      </vt:variant>
      <vt:variant>
        <vt:i4>29</vt:i4>
      </vt:variant>
      <vt:variant>
        <vt:i4>0</vt:i4>
      </vt:variant>
      <vt:variant>
        <vt:i4>5</vt:i4>
      </vt:variant>
      <vt:variant>
        <vt:lpwstr>http://www.kirklees.gov.uk/planning</vt:lpwstr>
      </vt:variant>
      <vt:variant>
        <vt:lpwstr/>
      </vt:variant>
      <vt:variant>
        <vt:i4>6094927</vt:i4>
      </vt:variant>
      <vt:variant>
        <vt:i4>26</vt:i4>
      </vt:variant>
      <vt:variant>
        <vt:i4>0</vt:i4>
      </vt:variant>
      <vt:variant>
        <vt:i4>5</vt:i4>
      </vt:variant>
      <vt:variant>
        <vt:lpwstr>http://www.planningportal.gov.uk/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dc:creator>
  <cp:lastModifiedBy>Matthew Bagley</cp:lastModifiedBy>
  <cp:revision>2</cp:revision>
  <cp:lastPrinted>1900-12-31T23:00:00Z</cp:lastPrinted>
  <dcterms:created xsi:type="dcterms:W3CDTF">2020-08-25T09:53:00Z</dcterms:created>
  <dcterms:modified xsi:type="dcterms:W3CDTF">2020-08-25T09:53:00Z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Janine.Ohara@kirklees.gov.uk</vt:lpwstr>
  </property>
  <property fmtid="{D5CDD505-2E9C-101B-9397-08002B2CF9AE}" pid="5" name="MSIP_Label_22127eb8-1c2a-4c17-86cc-a5ba0926d1f9_SetDate">
    <vt:lpwstr>2019-05-09T07:15:06.7979108Z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